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caps w:val="1"/>
        </w:rPr>
      </w:pPr>
      <w:r>
        <w:rPr>
          <w:b w:val="1"/>
          <w:bCs w:val="1"/>
          <w:caps w:val="1"/>
          <w:rtl w:val="0"/>
          <w:lang w:val="en-US"/>
        </w:rPr>
        <w:t>God</w:t>
      </w:r>
      <w:r>
        <w:rPr>
          <w:b w:val="1"/>
          <w:bCs w:val="1"/>
          <w:caps w:val="1"/>
          <w:rtl w:val="0"/>
          <w:lang w:val="en-US"/>
        </w:rPr>
        <w:t>’</w:t>
      </w:r>
      <w:r>
        <w:rPr>
          <w:b w:val="1"/>
          <w:bCs w:val="1"/>
          <w:caps w:val="1"/>
          <w:rtl w:val="0"/>
          <w:lang w:val="en-US"/>
        </w:rPr>
        <w:t>s Plan for History</w:t>
      </w:r>
    </w:p>
    <w:p>
      <w:pPr>
        <w:pStyle w:val="Body"/>
        <w:jc w:val="center"/>
        <w:rPr>
          <w:b w:val="1"/>
          <w:bCs w:val="1"/>
          <w:u w:val="single"/>
        </w:rPr>
      </w:pPr>
      <w:r>
        <w:rPr>
          <w:b w:val="1"/>
          <w:bCs w:val="1"/>
          <w:u w:val="single"/>
          <w:rtl w:val="0"/>
          <w:lang w:val="en-US"/>
        </w:rPr>
        <w:t>Announcement and Welcome</w:t>
      </w:r>
    </w:p>
    <w:p>
      <w:pPr>
        <w:pStyle w:val="Body"/>
        <w:jc w:val="center"/>
        <w:rPr>
          <w:b w:val="1"/>
          <w:bCs w:val="1"/>
        </w:rPr>
      </w:pPr>
      <w:r>
        <w:rPr>
          <w:b w:val="1"/>
          <w:bCs w:val="1"/>
          <w:rtl w:val="0"/>
          <w:lang w:val="en-US"/>
        </w:rPr>
        <w:t>June 28, 2022</w:t>
      </w:r>
    </w:p>
    <w:p>
      <w:pPr>
        <w:pStyle w:val="Body"/>
        <w:bidi w:val="0"/>
      </w:pPr>
    </w:p>
    <w:p>
      <w:pPr>
        <w:pStyle w:val="Body"/>
        <w:bidi w:val="0"/>
      </w:pPr>
    </w:p>
    <w:p>
      <w:pPr>
        <w:pStyle w:val="Body"/>
        <w:rPr>
          <w:b w:val="1"/>
          <w:bCs w:val="1"/>
          <w:caps w:val="0"/>
          <w:smallCaps w:val="0"/>
        </w:rPr>
      </w:pPr>
      <w:r>
        <w:rPr>
          <w:b w:val="1"/>
          <w:bCs w:val="1"/>
          <w:caps w:val="0"/>
          <w:smallCaps w:val="0"/>
          <w:rtl w:val="0"/>
          <w:lang w:val="en-US"/>
        </w:rPr>
        <w:t>The goal or objective of this study</w:t>
      </w:r>
    </w:p>
    <w:p>
      <w:pPr>
        <w:pStyle w:val="Body"/>
        <w:numPr>
          <w:ilvl w:val="0"/>
          <w:numId w:val="2"/>
        </w:numPr>
        <w:rPr>
          <w:sz w:val="20"/>
          <w:szCs w:val="20"/>
          <w:lang w:val="en-US"/>
        </w:rPr>
      </w:pPr>
      <w:r>
        <w:rPr>
          <w:sz w:val="20"/>
          <w:szCs w:val="20"/>
          <w:rtl w:val="0"/>
          <w:lang w:val="en-US"/>
        </w:rPr>
        <w:t>The first objective is to have a comprehensive and representative understanding of God</w:t>
      </w:r>
      <w:r>
        <w:rPr>
          <w:sz w:val="20"/>
          <w:szCs w:val="20"/>
          <w:rtl w:val="0"/>
          <w:lang w:val="en-US"/>
        </w:rPr>
        <w:t>’</w:t>
      </w:r>
      <w:r>
        <w:rPr>
          <w:sz w:val="20"/>
          <w:szCs w:val="20"/>
          <w:rtl w:val="0"/>
          <w:lang w:val="en-US"/>
        </w:rPr>
        <w:t xml:space="preserve">s plan for man and His creation: past, present, and future. </w:t>
      </w:r>
    </w:p>
    <w:p>
      <w:pPr>
        <w:pStyle w:val="Body"/>
        <w:numPr>
          <w:ilvl w:val="0"/>
          <w:numId w:val="2"/>
        </w:numPr>
        <w:rPr>
          <w:sz w:val="20"/>
          <w:szCs w:val="20"/>
          <w:lang w:val="en-US"/>
        </w:rPr>
      </w:pPr>
      <w:r>
        <w:rPr>
          <w:sz w:val="20"/>
          <w:szCs w:val="20"/>
          <w:rtl w:val="0"/>
          <w:lang w:val="en-US"/>
        </w:rPr>
        <w:t xml:space="preserve">The second objective is to have an appreciation for God and what He is doing. </w:t>
      </w:r>
    </w:p>
    <w:p>
      <w:pPr>
        <w:pStyle w:val="Body"/>
        <w:numPr>
          <w:ilvl w:val="0"/>
          <w:numId w:val="2"/>
        </w:numPr>
        <w:rPr>
          <w:sz w:val="20"/>
          <w:szCs w:val="20"/>
          <w:lang w:val="en-US"/>
        </w:rPr>
      </w:pPr>
      <w:r>
        <w:rPr>
          <w:sz w:val="20"/>
          <w:szCs w:val="20"/>
          <w:rtl w:val="0"/>
          <w:lang w:val="en-US"/>
        </w:rPr>
        <w:t xml:space="preserve">The third objective is use what you have learned, whether in your own personal Bible study or in a Bible study with others. </w:t>
      </w:r>
    </w:p>
    <w:p>
      <w:pPr>
        <w:pStyle w:val="Body"/>
        <w:rPr>
          <w:sz w:val="20"/>
          <w:szCs w:val="20"/>
        </w:rPr>
      </w:pPr>
    </w:p>
    <w:p>
      <w:pPr>
        <w:pStyle w:val="Body"/>
        <w:rPr>
          <w:sz w:val="20"/>
          <w:szCs w:val="20"/>
        </w:rPr>
      </w:pPr>
    </w:p>
    <w:p>
      <w:pPr>
        <w:pStyle w:val="Body"/>
        <w:rPr>
          <w:b w:val="1"/>
          <w:bCs w:val="1"/>
          <w:caps w:val="0"/>
          <w:smallCaps w:val="0"/>
        </w:rPr>
      </w:pPr>
      <w:r>
        <w:rPr>
          <w:b w:val="1"/>
          <w:bCs w:val="1"/>
          <w:caps w:val="0"/>
          <w:smallCaps w:val="0"/>
          <w:rtl w:val="0"/>
          <w:lang w:val="en-US"/>
        </w:rPr>
        <w:t>The Topic of Study</w:t>
      </w:r>
    </w:p>
    <w:p>
      <w:pPr>
        <w:pStyle w:val="Body"/>
        <w:rPr>
          <w:sz w:val="20"/>
          <w:szCs w:val="20"/>
        </w:rPr>
      </w:pPr>
      <w:r>
        <w:rPr>
          <w:sz w:val="20"/>
          <w:szCs w:val="20"/>
          <w:rtl w:val="0"/>
          <w:lang w:val="en-US"/>
        </w:rPr>
        <w:t>We are going to be studying key aspects of the Bible for the purpose of seeing how the past, present and future fits into God</w:t>
      </w:r>
      <w:r>
        <w:rPr>
          <w:sz w:val="20"/>
          <w:szCs w:val="20"/>
          <w:rtl w:val="0"/>
          <w:lang w:val="en-US"/>
        </w:rPr>
        <w:t>’</w:t>
      </w:r>
      <w:r>
        <w:rPr>
          <w:sz w:val="20"/>
          <w:szCs w:val="20"/>
          <w:rtl w:val="0"/>
          <w:lang w:val="en-US"/>
        </w:rPr>
        <w:t>s overall plan for man and creation. In particular we will be studying</w:t>
      </w:r>
      <w:r>
        <w:rPr>
          <w:sz w:val="20"/>
          <w:szCs w:val="20"/>
          <w:rtl w:val="0"/>
          <w:lang w:val="en-US"/>
        </w:rPr>
        <w:t>…</w:t>
      </w:r>
    </w:p>
    <w:p>
      <w:pPr>
        <w:pStyle w:val="Body"/>
        <w:numPr>
          <w:ilvl w:val="0"/>
          <w:numId w:val="2"/>
        </w:numPr>
        <w:rPr>
          <w:sz w:val="20"/>
          <w:szCs w:val="20"/>
          <w:lang w:val="en-US"/>
        </w:rPr>
      </w:pPr>
      <w:r>
        <w:rPr>
          <w:sz w:val="20"/>
          <w:szCs w:val="20"/>
          <w:rtl w:val="0"/>
          <w:lang w:val="en-US"/>
        </w:rPr>
        <w:t>…</w:t>
      </w:r>
      <w:r>
        <w:rPr>
          <w:sz w:val="20"/>
          <w:szCs w:val="20"/>
          <w:rtl w:val="0"/>
          <w:lang w:val="en-US"/>
        </w:rPr>
        <w:t xml:space="preserve">the biblical covenants (like the Abrahamic and Mosaic Covenants) as they form the framework for understanding the Bible, </w:t>
      </w:r>
    </w:p>
    <w:p>
      <w:pPr>
        <w:pStyle w:val="Body"/>
        <w:numPr>
          <w:ilvl w:val="0"/>
          <w:numId w:val="2"/>
        </w:numPr>
        <w:rPr>
          <w:sz w:val="20"/>
          <w:szCs w:val="20"/>
          <w:lang w:val="en-US"/>
        </w:rPr>
      </w:pPr>
      <w:r>
        <w:rPr>
          <w:sz w:val="20"/>
          <w:szCs w:val="20"/>
          <w:rtl w:val="0"/>
          <w:lang w:val="en-US"/>
        </w:rPr>
        <w:t>…</w:t>
      </w:r>
      <w:r>
        <w:rPr>
          <w:sz w:val="20"/>
          <w:szCs w:val="20"/>
          <w:rtl w:val="0"/>
          <w:lang w:val="en-US"/>
        </w:rPr>
        <w:t xml:space="preserve">the Kingdom of God as the one single unifying theme for the Bible, </w:t>
      </w:r>
    </w:p>
    <w:p>
      <w:pPr>
        <w:pStyle w:val="Body"/>
        <w:numPr>
          <w:ilvl w:val="0"/>
          <w:numId w:val="2"/>
        </w:numPr>
        <w:rPr>
          <w:sz w:val="20"/>
          <w:szCs w:val="20"/>
          <w:lang w:val="en-US"/>
        </w:rPr>
      </w:pPr>
      <w:r>
        <w:rPr>
          <w:sz w:val="20"/>
          <w:szCs w:val="20"/>
          <w:rtl w:val="0"/>
          <w:lang w:val="en-US"/>
        </w:rPr>
        <w:t>…</w:t>
      </w:r>
      <w:r>
        <w:rPr>
          <w:sz w:val="20"/>
          <w:szCs w:val="20"/>
          <w:rtl w:val="0"/>
          <w:lang w:val="en-US"/>
        </w:rPr>
        <w:t xml:space="preserve">and the doctrines related to the future (The millennium, tribulation, rapture, eternal state). </w:t>
      </w:r>
    </w:p>
    <w:p>
      <w:pPr>
        <w:pStyle w:val="Body"/>
        <w:rPr>
          <w:sz w:val="20"/>
          <w:szCs w:val="20"/>
        </w:rPr>
      </w:pPr>
    </w:p>
    <w:p>
      <w:pPr>
        <w:pStyle w:val="Body"/>
        <w:rPr>
          <w:sz w:val="20"/>
          <w:szCs w:val="20"/>
        </w:rPr>
      </w:pPr>
    </w:p>
    <w:p>
      <w:pPr>
        <w:pStyle w:val="Body"/>
        <w:rPr>
          <w:b w:val="1"/>
          <w:bCs w:val="1"/>
          <w:caps w:val="0"/>
          <w:smallCaps w:val="0"/>
        </w:rPr>
      </w:pPr>
      <w:r>
        <w:rPr>
          <w:b w:val="1"/>
          <w:bCs w:val="1"/>
          <w:caps w:val="0"/>
          <w:smallCaps w:val="0"/>
          <w:rtl w:val="0"/>
          <w:lang w:val="en-US"/>
        </w:rPr>
        <w:t xml:space="preserve">Who is this study for? </w:t>
      </w:r>
    </w:p>
    <w:p>
      <w:pPr>
        <w:pStyle w:val="Body"/>
        <w:rPr>
          <w:sz w:val="20"/>
          <w:szCs w:val="20"/>
        </w:rPr>
      </w:pPr>
      <w:r>
        <w:rPr>
          <w:sz w:val="20"/>
          <w:szCs w:val="20"/>
          <w:rtl w:val="0"/>
          <w:lang w:val="en-US"/>
        </w:rPr>
        <w:t>This study is for everyone who is interested in having a more comprehensive understanding of God</w:t>
      </w:r>
      <w:r>
        <w:rPr>
          <w:sz w:val="20"/>
          <w:szCs w:val="20"/>
          <w:rtl w:val="0"/>
          <w:lang w:val="en-US"/>
        </w:rPr>
        <w:t>’</w:t>
      </w:r>
      <w:r>
        <w:rPr>
          <w:sz w:val="20"/>
          <w:szCs w:val="20"/>
          <w:rtl w:val="0"/>
          <w:lang w:val="en-US"/>
        </w:rPr>
        <w:t xml:space="preserve">s plan. We will consider things that range from pretty basic to more advance. No matter what your level of Bible knowledge is, you will find something in this study that is for you. </w:t>
      </w:r>
    </w:p>
    <w:p>
      <w:pPr>
        <w:pStyle w:val="Body"/>
        <w:rPr>
          <w:sz w:val="20"/>
          <w:szCs w:val="20"/>
        </w:rPr>
      </w:pPr>
    </w:p>
    <w:p>
      <w:pPr>
        <w:pStyle w:val="Body"/>
        <w:rPr>
          <w:sz w:val="20"/>
          <w:szCs w:val="20"/>
        </w:rPr>
      </w:pPr>
    </w:p>
    <w:p>
      <w:pPr>
        <w:pStyle w:val="Body"/>
        <w:rPr>
          <w:b w:val="1"/>
          <w:bCs w:val="1"/>
          <w:caps w:val="0"/>
          <w:smallCaps w:val="0"/>
        </w:rPr>
      </w:pPr>
      <w:r>
        <w:rPr>
          <w:b w:val="1"/>
          <w:bCs w:val="1"/>
          <w:caps w:val="0"/>
          <w:smallCaps w:val="0"/>
          <w:rtl w:val="0"/>
          <w:lang w:val="en-US"/>
        </w:rPr>
        <w:t xml:space="preserve">How long is this study going to last? </w:t>
      </w:r>
    </w:p>
    <w:p>
      <w:pPr>
        <w:pStyle w:val="Body"/>
        <w:rPr>
          <w:sz w:val="20"/>
          <w:szCs w:val="20"/>
        </w:rPr>
      </w:pPr>
      <w:r>
        <w:rPr>
          <w:sz w:val="20"/>
          <w:szCs w:val="20"/>
          <w:rtl w:val="0"/>
          <w:lang w:val="en-US"/>
        </w:rPr>
        <w:t>I have no idea. But each class lasts approximately one-hour, although if you come in person we spend approximately another 30 minutes or so talking among ourselves and asking questions about what we just studied (unfortunately we don</w:t>
      </w:r>
      <w:r>
        <w:rPr>
          <w:sz w:val="20"/>
          <w:szCs w:val="20"/>
          <w:rtl w:val="0"/>
          <w:lang w:val="en-US"/>
        </w:rPr>
        <w:t>’</w:t>
      </w:r>
      <w:r>
        <w:rPr>
          <w:sz w:val="20"/>
          <w:szCs w:val="20"/>
          <w:rtl w:val="0"/>
          <w:lang w:val="en-US"/>
        </w:rPr>
        <w:t xml:space="preserve">t record this part). </w:t>
      </w:r>
    </w:p>
    <w:p>
      <w:pPr>
        <w:pStyle w:val="Body"/>
        <w:rPr>
          <w:sz w:val="20"/>
          <w:szCs w:val="20"/>
        </w:rPr>
      </w:pPr>
    </w:p>
    <w:p>
      <w:pPr>
        <w:pStyle w:val="Body"/>
        <w:rPr>
          <w:sz w:val="20"/>
          <w:szCs w:val="20"/>
        </w:rPr>
      </w:pPr>
      <w:r>
        <w:rPr>
          <w:sz w:val="20"/>
          <w:szCs w:val="20"/>
          <w:rtl w:val="0"/>
          <w:lang w:val="en-US"/>
        </w:rPr>
        <w:t xml:space="preserve">We will go between 8-10 weeks on each major part of this study, then take a week or two off, and come back and meet again for another 8-10 weeks. We will do this until we have cover this entire topic. </w:t>
      </w:r>
    </w:p>
    <w:p>
      <w:pPr>
        <w:pStyle w:val="Body"/>
        <w:rPr>
          <w:sz w:val="20"/>
          <w:szCs w:val="20"/>
        </w:rPr>
      </w:pPr>
    </w:p>
    <w:p>
      <w:pPr>
        <w:pStyle w:val="Body"/>
        <w:rPr>
          <w:sz w:val="20"/>
          <w:szCs w:val="20"/>
        </w:rPr>
      </w:pPr>
      <w:r>
        <w:rPr>
          <w:sz w:val="20"/>
          <w:szCs w:val="20"/>
          <w:rtl w:val="0"/>
          <w:lang w:val="en-US"/>
        </w:rPr>
        <w:t>Here is the schedule through August:</w:t>
      </w:r>
    </w:p>
    <w:tbl>
      <w:tblPr>
        <w:tblW w:w="660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023"/>
        <w:gridCol w:w="2597"/>
        <w:gridCol w:w="2980"/>
      </w:tblGrid>
      <w:tr>
        <w:tblPrEx>
          <w:shd w:val="clear" w:color="auto" w:fill="bdc0bf"/>
        </w:tblPrEx>
        <w:trPr>
          <w:trHeight w:val="235" w:hRule="atLeast"/>
          <w:tblHeader/>
        </w:trPr>
        <w:tc>
          <w:tcPr>
            <w:tcW w:type="dxa" w:w="10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dc0bf"/>
            <w:tcMar>
              <w:top w:type="dxa" w:w="80"/>
              <w:left w:type="dxa" w:w="80"/>
              <w:bottom w:type="dxa" w:w="80"/>
              <w:right w:type="dxa" w:w="80"/>
            </w:tcMar>
            <w:vAlign w:val="center"/>
          </w:tcPr>
          <w:p>
            <w:pPr>
              <w:pStyle w:val="Table Style 1"/>
              <w:jc w:val="center"/>
            </w:pPr>
            <w:r>
              <w:rPr>
                <w:rFonts w:ascii="Helvetica Neue" w:hAnsi="Helvetica Neue"/>
                <w:sz w:val="18"/>
                <w:szCs w:val="18"/>
                <w:rtl w:val="0"/>
              </w:rPr>
              <w:t>Class</w:t>
            </w:r>
          </w:p>
        </w:tc>
        <w:tc>
          <w:tcPr>
            <w:tcW w:type="dxa" w:w="25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dc0bf"/>
            <w:tcMar>
              <w:top w:type="dxa" w:w="80"/>
              <w:left w:type="dxa" w:w="80"/>
              <w:bottom w:type="dxa" w:w="80"/>
              <w:right w:type="dxa" w:w="80"/>
            </w:tcMar>
            <w:vAlign w:val="top"/>
          </w:tcPr>
          <w:p>
            <w:pPr>
              <w:pStyle w:val="Table Style 1"/>
              <w:jc w:val="center"/>
            </w:pPr>
            <w:r>
              <w:rPr>
                <w:rFonts w:ascii="Helvetica Neue" w:hAnsi="Helvetica Neue"/>
                <w:sz w:val="18"/>
                <w:szCs w:val="18"/>
                <w:rtl w:val="0"/>
              </w:rPr>
              <w:t>Date</w:t>
            </w:r>
          </w:p>
        </w:tc>
        <w:tc>
          <w:tcPr>
            <w:tcW w:type="dxa" w:w="29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dc0bf"/>
            <w:tcMar>
              <w:top w:type="dxa" w:w="80"/>
              <w:left w:type="dxa" w:w="80"/>
              <w:bottom w:type="dxa" w:w="80"/>
              <w:right w:type="dxa" w:w="80"/>
            </w:tcMar>
            <w:vAlign w:val="top"/>
          </w:tcPr>
          <w:p>
            <w:pPr>
              <w:pStyle w:val="Table Style 1"/>
              <w:jc w:val="center"/>
            </w:pPr>
            <w:r>
              <w:rPr>
                <w:rFonts w:ascii="Helvetica Neue" w:hAnsi="Helvetica Neue"/>
                <w:sz w:val="18"/>
                <w:szCs w:val="18"/>
                <w:rtl w:val="0"/>
              </w:rPr>
              <w:t>Topic</w:t>
            </w:r>
          </w:p>
        </w:tc>
      </w:tr>
      <w:tr>
        <w:tblPrEx>
          <w:shd w:val="clear" w:color="auto" w:fill="auto"/>
        </w:tblPrEx>
        <w:trPr>
          <w:trHeight w:val="235" w:hRule="atLeast"/>
        </w:trPr>
        <w:tc>
          <w:tcPr>
            <w:tcW w:type="dxa" w:w="10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sz w:val="18"/>
                <w:szCs w:val="18"/>
                <w:rtl w:val="0"/>
              </w:rPr>
              <w:t>1</w:t>
            </w:r>
          </w:p>
        </w:tc>
        <w:tc>
          <w:tcPr>
            <w:tcW w:type="dxa" w:w="25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18"/>
                <w:szCs w:val="18"/>
                <w:rtl w:val="0"/>
              </w:rPr>
              <w:t>June 30</w:t>
            </w:r>
          </w:p>
        </w:tc>
        <w:tc>
          <w:tcPr>
            <w:tcW w:type="dxa" w:w="29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18"/>
                <w:szCs w:val="18"/>
                <w:rtl w:val="0"/>
              </w:rPr>
              <w:t>Introduction</w:t>
            </w:r>
          </w:p>
        </w:tc>
      </w:tr>
      <w:tr>
        <w:tblPrEx>
          <w:shd w:val="clear" w:color="auto" w:fill="auto"/>
        </w:tblPrEx>
        <w:trPr>
          <w:trHeight w:val="235" w:hRule="atLeast"/>
        </w:trPr>
        <w:tc>
          <w:tcPr>
            <w:tcW w:type="dxa" w:w="10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sz w:val="18"/>
                <w:szCs w:val="18"/>
                <w:rtl w:val="0"/>
              </w:rPr>
              <w:t>2</w:t>
            </w:r>
          </w:p>
        </w:tc>
        <w:tc>
          <w:tcPr>
            <w:tcW w:type="dxa" w:w="25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18"/>
                <w:szCs w:val="18"/>
                <w:rtl w:val="0"/>
              </w:rPr>
              <w:t>July 7</w:t>
            </w:r>
          </w:p>
        </w:tc>
        <w:tc>
          <w:tcPr>
            <w:tcW w:type="dxa" w:w="29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18"/>
                <w:szCs w:val="18"/>
                <w:rtl w:val="0"/>
              </w:rPr>
              <w:t>Introduction</w:t>
            </w:r>
          </w:p>
        </w:tc>
      </w:tr>
      <w:tr>
        <w:tblPrEx>
          <w:shd w:val="clear" w:color="auto" w:fill="auto"/>
        </w:tblPrEx>
        <w:trPr>
          <w:trHeight w:val="235" w:hRule="atLeast"/>
        </w:trPr>
        <w:tc>
          <w:tcPr>
            <w:tcW w:type="dxa" w:w="10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25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18"/>
                <w:szCs w:val="18"/>
                <w:rtl w:val="0"/>
              </w:rPr>
              <w:t>July 14</w:t>
            </w:r>
          </w:p>
        </w:tc>
        <w:tc>
          <w:tcPr>
            <w:tcW w:type="dxa" w:w="29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18"/>
                <w:szCs w:val="18"/>
                <w:rtl w:val="0"/>
              </w:rPr>
              <w:t>NO CLASS</w:t>
            </w:r>
          </w:p>
        </w:tc>
      </w:tr>
      <w:tr>
        <w:tblPrEx>
          <w:shd w:val="clear" w:color="auto" w:fill="auto"/>
        </w:tblPrEx>
        <w:trPr>
          <w:trHeight w:val="235" w:hRule="atLeast"/>
        </w:trPr>
        <w:tc>
          <w:tcPr>
            <w:tcW w:type="dxa" w:w="10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25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18"/>
                <w:szCs w:val="18"/>
                <w:rtl w:val="0"/>
              </w:rPr>
              <w:t>July 21</w:t>
            </w:r>
          </w:p>
        </w:tc>
        <w:tc>
          <w:tcPr>
            <w:tcW w:type="dxa" w:w="29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18"/>
                <w:szCs w:val="18"/>
                <w:rtl w:val="0"/>
              </w:rPr>
              <w:t>NO CLASS</w:t>
            </w:r>
          </w:p>
        </w:tc>
      </w:tr>
      <w:tr>
        <w:tblPrEx>
          <w:shd w:val="clear" w:color="auto" w:fill="auto"/>
        </w:tblPrEx>
        <w:trPr>
          <w:trHeight w:val="235" w:hRule="atLeast"/>
        </w:trPr>
        <w:tc>
          <w:tcPr>
            <w:tcW w:type="dxa" w:w="10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sz w:val="18"/>
                <w:szCs w:val="18"/>
                <w:rtl w:val="0"/>
              </w:rPr>
              <w:t>3</w:t>
            </w:r>
          </w:p>
        </w:tc>
        <w:tc>
          <w:tcPr>
            <w:tcW w:type="dxa" w:w="25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18"/>
                <w:szCs w:val="18"/>
                <w:rtl w:val="0"/>
              </w:rPr>
              <w:t>August 4</w:t>
            </w:r>
          </w:p>
        </w:tc>
        <w:tc>
          <w:tcPr>
            <w:tcW w:type="dxa" w:w="29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18"/>
                <w:szCs w:val="18"/>
                <w:rtl w:val="0"/>
              </w:rPr>
              <w:t>The Covenants</w:t>
            </w:r>
          </w:p>
        </w:tc>
      </w:tr>
      <w:tr>
        <w:tblPrEx>
          <w:shd w:val="clear" w:color="auto" w:fill="auto"/>
        </w:tblPrEx>
        <w:trPr>
          <w:trHeight w:val="235" w:hRule="atLeast"/>
        </w:trPr>
        <w:tc>
          <w:tcPr>
            <w:tcW w:type="dxa" w:w="10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sz w:val="18"/>
                <w:szCs w:val="18"/>
                <w:rtl w:val="0"/>
              </w:rPr>
              <w:t>4</w:t>
            </w:r>
          </w:p>
        </w:tc>
        <w:tc>
          <w:tcPr>
            <w:tcW w:type="dxa" w:w="25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18"/>
                <w:szCs w:val="18"/>
                <w:rtl w:val="0"/>
              </w:rPr>
              <w:t>August 11</w:t>
            </w:r>
          </w:p>
        </w:tc>
        <w:tc>
          <w:tcPr>
            <w:tcW w:type="dxa" w:w="29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18"/>
                <w:szCs w:val="18"/>
                <w:rtl w:val="0"/>
              </w:rPr>
              <w:t>The Covenants</w:t>
            </w:r>
          </w:p>
        </w:tc>
      </w:tr>
      <w:tr>
        <w:tblPrEx>
          <w:shd w:val="clear" w:color="auto" w:fill="auto"/>
        </w:tblPrEx>
        <w:trPr>
          <w:trHeight w:val="235" w:hRule="atLeast"/>
        </w:trPr>
        <w:tc>
          <w:tcPr>
            <w:tcW w:type="dxa" w:w="10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sz w:val="18"/>
                <w:szCs w:val="18"/>
                <w:rtl w:val="0"/>
              </w:rPr>
              <w:t>5</w:t>
            </w:r>
          </w:p>
        </w:tc>
        <w:tc>
          <w:tcPr>
            <w:tcW w:type="dxa" w:w="25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18"/>
                <w:szCs w:val="18"/>
                <w:rtl w:val="0"/>
              </w:rPr>
              <w:t>August 18</w:t>
            </w:r>
          </w:p>
        </w:tc>
        <w:tc>
          <w:tcPr>
            <w:tcW w:type="dxa" w:w="29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18"/>
                <w:szCs w:val="18"/>
                <w:rtl w:val="0"/>
              </w:rPr>
              <w:t>The Covenants</w:t>
            </w:r>
          </w:p>
        </w:tc>
      </w:tr>
      <w:tr>
        <w:tblPrEx>
          <w:shd w:val="clear" w:color="auto" w:fill="auto"/>
        </w:tblPrEx>
        <w:trPr>
          <w:trHeight w:val="235" w:hRule="atLeast"/>
        </w:trPr>
        <w:tc>
          <w:tcPr>
            <w:tcW w:type="dxa" w:w="102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jc w:val="center"/>
            </w:pPr>
            <w:r>
              <w:rPr>
                <w:rFonts w:ascii="Helvetica Neue" w:hAnsi="Helvetica Neue"/>
                <w:sz w:val="18"/>
                <w:szCs w:val="18"/>
                <w:rtl w:val="0"/>
              </w:rPr>
              <w:t>6</w:t>
            </w:r>
          </w:p>
        </w:tc>
        <w:tc>
          <w:tcPr>
            <w:tcW w:type="dxa" w:w="25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18"/>
                <w:szCs w:val="18"/>
                <w:rtl w:val="0"/>
              </w:rPr>
              <w:t>August 25</w:t>
            </w:r>
          </w:p>
        </w:tc>
        <w:tc>
          <w:tcPr>
            <w:tcW w:type="dxa" w:w="297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sz w:val="18"/>
                <w:szCs w:val="18"/>
                <w:rtl w:val="0"/>
              </w:rPr>
              <w:t>The Covenants</w:t>
            </w:r>
          </w:p>
        </w:tc>
      </w:tr>
    </w:tbl>
    <w:p>
      <w:pPr>
        <w:pStyle w:val="Body"/>
        <w:rPr>
          <w:sz w:val="20"/>
          <w:szCs w:val="20"/>
        </w:rPr>
      </w:pPr>
    </w:p>
    <w:p>
      <w:pPr>
        <w:pStyle w:val="Body"/>
        <w:rPr>
          <w:sz w:val="20"/>
          <w:szCs w:val="20"/>
        </w:rPr>
      </w:pPr>
    </w:p>
    <w:p>
      <w:pPr>
        <w:pStyle w:val="Body"/>
        <w:rPr>
          <w:sz w:val="20"/>
          <w:szCs w:val="20"/>
        </w:rPr>
      </w:pPr>
    </w:p>
    <w:p>
      <w:pPr>
        <w:pStyle w:val="Body"/>
        <w:rPr>
          <w:sz w:val="20"/>
          <w:szCs w:val="20"/>
        </w:rPr>
      </w:pPr>
    </w:p>
    <w:p>
      <w:pPr>
        <w:pStyle w:val="Body"/>
        <w:rPr>
          <w:b w:val="1"/>
          <w:bCs w:val="1"/>
          <w:caps w:val="0"/>
          <w:smallCaps w:val="0"/>
        </w:rPr>
      </w:pPr>
      <w:r>
        <w:rPr>
          <w:b w:val="1"/>
          <w:bCs w:val="1"/>
          <w:caps w:val="0"/>
          <w:smallCaps w:val="0"/>
          <w:rtl w:val="0"/>
          <w:lang w:val="en-US"/>
        </w:rPr>
        <w:t>What to bring to class</w:t>
      </w:r>
    </w:p>
    <w:p>
      <w:pPr>
        <w:pStyle w:val="Body"/>
        <w:rPr>
          <w:sz w:val="20"/>
          <w:szCs w:val="20"/>
        </w:rPr>
      </w:pPr>
      <w:r>
        <w:rPr>
          <w:sz w:val="20"/>
          <w:szCs w:val="20"/>
          <w:rtl w:val="0"/>
          <w:lang w:val="en-US"/>
        </w:rPr>
        <w:t>If you are joining us in person:</w:t>
      </w:r>
    </w:p>
    <w:p>
      <w:pPr>
        <w:pStyle w:val="Body"/>
        <w:numPr>
          <w:ilvl w:val="0"/>
          <w:numId w:val="2"/>
        </w:numPr>
        <w:rPr>
          <w:sz w:val="20"/>
          <w:szCs w:val="20"/>
          <w:lang w:val="en-US"/>
        </w:rPr>
      </w:pPr>
      <w:r>
        <w:rPr>
          <w:sz w:val="20"/>
          <w:szCs w:val="20"/>
          <w:rtl w:val="0"/>
          <w:lang w:val="en-US"/>
        </w:rPr>
        <w:t xml:space="preserve">you will need a Bible (I will be using the New King James Version as our primary translation, but will also refer to other translations; you use what you have), </w:t>
      </w:r>
    </w:p>
    <w:p>
      <w:pPr>
        <w:pStyle w:val="Body"/>
        <w:numPr>
          <w:ilvl w:val="0"/>
          <w:numId w:val="2"/>
        </w:numPr>
        <w:rPr>
          <w:sz w:val="20"/>
          <w:szCs w:val="20"/>
          <w:lang w:val="en-US"/>
        </w:rPr>
      </w:pPr>
      <w:r>
        <w:rPr>
          <w:sz w:val="20"/>
          <w:szCs w:val="20"/>
          <w:rtl w:val="0"/>
          <w:lang w:val="en-US"/>
        </w:rPr>
        <w:t xml:space="preserve">and something to take notes with </w:t>
      </w:r>
      <w:r>
        <w:rPr>
          <w:sz w:val="20"/>
          <w:szCs w:val="20"/>
          <w:rtl w:val="0"/>
          <w:lang w:val="en-US"/>
        </w:rPr>
        <w:t xml:space="preserve">— </w:t>
      </w:r>
      <w:r>
        <w:rPr>
          <w:sz w:val="20"/>
          <w:szCs w:val="20"/>
          <w:rtl w:val="0"/>
          <w:lang w:val="en-US"/>
        </w:rPr>
        <w:t xml:space="preserve">I suggest a 3 ring binder that is 1 inch thick. </w:t>
      </w:r>
    </w:p>
    <w:p>
      <w:pPr>
        <w:pStyle w:val="Body"/>
        <w:rPr>
          <w:sz w:val="20"/>
          <w:szCs w:val="20"/>
        </w:rPr>
      </w:pPr>
    </w:p>
    <w:p>
      <w:pPr>
        <w:pStyle w:val="Body"/>
        <w:rPr>
          <w:sz w:val="20"/>
          <w:szCs w:val="20"/>
        </w:rPr>
      </w:pPr>
      <w:r>
        <w:rPr>
          <w:sz w:val="20"/>
          <w:szCs w:val="20"/>
          <w:rtl w:val="0"/>
          <w:lang w:val="en-US"/>
        </w:rPr>
        <w:t xml:space="preserve">If you are joining by Youtube: </w:t>
      </w:r>
    </w:p>
    <w:p>
      <w:pPr>
        <w:pStyle w:val="Body"/>
        <w:numPr>
          <w:ilvl w:val="0"/>
          <w:numId w:val="2"/>
        </w:numPr>
        <w:rPr>
          <w:sz w:val="20"/>
          <w:szCs w:val="20"/>
          <w:lang w:val="en-US"/>
        </w:rPr>
      </w:pPr>
      <w:r>
        <w:rPr>
          <w:sz w:val="20"/>
          <w:szCs w:val="20"/>
          <w:rtl w:val="0"/>
          <w:lang w:val="en-US"/>
        </w:rPr>
        <w:t xml:space="preserve">You will need a computer or device with internet access. </w:t>
      </w:r>
    </w:p>
    <w:p>
      <w:pPr>
        <w:pStyle w:val="Body"/>
        <w:numPr>
          <w:ilvl w:val="0"/>
          <w:numId w:val="2"/>
        </w:numPr>
        <w:rPr>
          <w:sz w:val="20"/>
          <w:szCs w:val="20"/>
          <w:lang w:val="en-US"/>
        </w:rPr>
      </w:pPr>
      <w:r>
        <w:rPr>
          <w:sz w:val="20"/>
          <w:szCs w:val="20"/>
          <w:rtl w:val="0"/>
          <w:lang w:val="en-US"/>
        </w:rPr>
        <w:t>You will need to visit our church website before class starts to get the notes for the day (</w:t>
      </w:r>
      <w:r>
        <w:rPr>
          <w:rStyle w:val="Hyperlink.0"/>
          <w:sz w:val="20"/>
          <w:szCs w:val="20"/>
        </w:rPr>
        <w:fldChar w:fldCharType="begin" w:fldLock="0"/>
      </w:r>
      <w:r>
        <w:rPr>
          <w:rStyle w:val="Hyperlink.0"/>
          <w:sz w:val="20"/>
          <w:szCs w:val="20"/>
        </w:rPr>
        <w:instrText xml:space="preserve"> HYPERLINK "https://www.cbcrm.org"</w:instrText>
      </w:r>
      <w:r>
        <w:rPr>
          <w:rStyle w:val="Hyperlink.0"/>
          <w:sz w:val="20"/>
          <w:szCs w:val="20"/>
        </w:rPr>
        <w:fldChar w:fldCharType="separate" w:fldLock="0"/>
      </w:r>
      <w:r>
        <w:rPr>
          <w:rStyle w:val="Hyperlink.0"/>
          <w:sz w:val="20"/>
          <w:szCs w:val="20"/>
          <w:rtl w:val="0"/>
          <w:lang w:val="en-US"/>
        </w:rPr>
        <w:t>https://www.cbcrm.org</w:t>
      </w:r>
      <w:r>
        <w:rPr>
          <w:sz w:val="20"/>
          <w:szCs w:val="20"/>
        </w:rPr>
        <w:fldChar w:fldCharType="end" w:fldLock="0"/>
      </w:r>
      <w:r>
        <w:rPr>
          <w:sz w:val="20"/>
          <w:szCs w:val="20"/>
          <w:rtl w:val="0"/>
          <w:lang w:val="en-US"/>
        </w:rPr>
        <w:t xml:space="preserve">) [Go to the website, look for the </w:t>
      </w:r>
      <w:r>
        <w:rPr>
          <w:sz w:val="20"/>
          <w:szCs w:val="20"/>
          <w:rtl w:val="0"/>
          <w:lang w:val="en-US"/>
        </w:rPr>
        <w:t>“</w:t>
      </w:r>
      <w:r>
        <w:rPr>
          <w:sz w:val="20"/>
          <w:szCs w:val="20"/>
          <w:rtl w:val="0"/>
          <w:lang w:val="en-US"/>
        </w:rPr>
        <w:t>Bible Studies</w:t>
      </w:r>
      <w:r>
        <w:rPr>
          <w:sz w:val="20"/>
          <w:szCs w:val="20"/>
          <w:rtl w:val="0"/>
          <w:lang w:val="en-US"/>
        </w:rPr>
        <w:t xml:space="preserve">” </w:t>
      </w:r>
      <w:r>
        <w:rPr>
          <w:sz w:val="20"/>
          <w:szCs w:val="20"/>
          <w:rtl w:val="0"/>
          <w:lang w:val="en-US"/>
        </w:rPr>
        <w:t xml:space="preserve">tab at the top of the page and click on it, find </w:t>
      </w:r>
      <w:r>
        <w:rPr>
          <w:sz w:val="20"/>
          <w:szCs w:val="20"/>
          <w:rtl w:val="0"/>
          <w:lang w:val="en-US"/>
        </w:rPr>
        <w:t>“</w:t>
      </w:r>
      <w:r>
        <w:rPr>
          <w:sz w:val="20"/>
          <w:szCs w:val="20"/>
          <w:rtl w:val="0"/>
          <w:lang w:val="en-US"/>
        </w:rPr>
        <w:t>God</w:t>
      </w:r>
      <w:r>
        <w:rPr>
          <w:sz w:val="20"/>
          <w:szCs w:val="20"/>
          <w:rtl w:val="0"/>
          <w:lang w:val="en-US"/>
        </w:rPr>
        <w:t>’</w:t>
      </w:r>
      <w:r>
        <w:rPr>
          <w:sz w:val="20"/>
          <w:szCs w:val="20"/>
          <w:rtl w:val="0"/>
          <w:lang w:val="en-US"/>
        </w:rPr>
        <w:t>s Plan For History</w:t>
      </w:r>
      <w:r>
        <w:rPr>
          <w:sz w:val="20"/>
          <w:szCs w:val="20"/>
          <w:rtl w:val="0"/>
          <w:lang w:val="en-US"/>
        </w:rPr>
        <w:t xml:space="preserve">” </w:t>
      </w:r>
      <w:r>
        <w:rPr>
          <w:sz w:val="20"/>
          <w:szCs w:val="20"/>
          <w:rtl w:val="0"/>
          <w:lang w:val="en-US"/>
        </w:rPr>
        <w:t>and click on it, look for the notes with the most recent date.]</w:t>
      </w:r>
    </w:p>
    <w:p>
      <w:pPr>
        <w:pStyle w:val="Body"/>
        <w:numPr>
          <w:ilvl w:val="0"/>
          <w:numId w:val="2"/>
        </w:numPr>
        <w:rPr>
          <w:sz w:val="20"/>
          <w:szCs w:val="20"/>
          <w:lang w:val="en-US"/>
        </w:rPr>
      </w:pPr>
      <w:r>
        <w:rPr>
          <w:sz w:val="20"/>
          <w:szCs w:val="20"/>
          <w:rtl w:val="0"/>
          <w:lang w:val="en-US"/>
        </w:rPr>
        <w:t xml:space="preserve">You will need some way to watch or listen, look passages up in your Bible and take notes at the same time. </w:t>
      </w:r>
    </w:p>
    <w:p>
      <w:pPr>
        <w:pStyle w:val="Body"/>
        <w:rPr>
          <w:sz w:val="20"/>
          <w:szCs w:val="20"/>
        </w:rPr>
      </w:pPr>
    </w:p>
    <w:p>
      <w:pPr>
        <w:pStyle w:val="Body"/>
        <w:bidi w:val="0"/>
      </w:pPr>
    </w:p>
    <w:p>
      <w:pPr>
        <w:pStyle w:val="Body"/>
        <w:bidi w:val="0"/>
        <w:rPr>
          <w:sz w:val="18"/>
          <w:szCs w:val="18"/>
        </w:rPr>
      </w:pPr>
      <w:r>
        <w:rPr>
          <w:b w:val="1"/>
          <w:bCs w:val="1"/>
          <w:rtl w:val="0"/>
          <w:lang w:val="en-US"/>
        </w:rPr>
        <w:t>Selective Bibliography</w:t>
      </w:r>
      <w:r>
        <w:rPr>
          <w:rtl w:val="0"/>
        </w:rPr>
        <w:t xml:space="preserve"> </w:t>
      </w:r>
      <w:r>
        <w:rPr>
          <w:sz w:val="18"/>
          <w:szCs w:val="18"/>
          <w:rtl w:val="0"/>
          <w:lang w:val="en-US"/>
        </w:rPr>
        <w:t xml:space="preserve">(The books in the </w:t>
      </w:r>
      <w:r>
        <w:rPr>
          <w:sz w:val="18"/>
          <w:szCs w:val="18"/>
          <w:rtl w:val="0"/>
          <w:lang w:val="en-US"/>
        </w:rPr>
        <w:t>“</w:t>
      </w:r>
      <w:r>
        <w:rPr>
          <w:sz w:val="18"/>
          <w:szCs w:val="18"/>
          <w:rtl w:val="0"/>
          <w:lang w:val="en-US"/>
        </w:rPr>
        <w:t>Basic</w:t>
      </w:r>
      <w:r>
        <w:rPr>
          <w:sz w:val="18"/>
          <w:szCs w:val="18"/>
          <w:rtl w:val="0"/>
          <w:lang w:val="en-US"/>
        </w:rPr>
        <w:t xml:space="preserve">” </w:t>
      </w:r>
      <w:r>
        <w:rPr>
          <w:sz w:val="18"/>
          <w:szCs w:val="18"/>
          <w:rtl w:val="0"/>
          <w:lang w:val="en-US"/>
        </w:rPr>
        <w:t>section I would definitely recommend reading to get a comprehensive orientation to the topic of this study.)</w:t>
      </w:r>
    </w:p>
    <w:p>
      <w:pPr>
        <w:pStyle w:val="Body"/>
        <w:bidi w:val="0"/>
      </w:pPr>
    </w:p>
    <w:tbl>
      <w:tblPr>
        <w:tblW w:w="10433"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216"/>
        <w:gridCol w:w="5217"/>
      </w:tblGrid>
      <w:tr>
        <w:tblPrEx>
          <w:shd w:val="clear" w:color="auto" w:fill="bdc0bf"/>
        </w:tblPrEx>
        <w:trPr>
          <w:trHeight w:val="235" w:hRule="atLeast"/>
          <w:tblHeader/>
        </w:trPr>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dc0bf"/>
            <w:tcMar>
              <w:top w:type="dxa" w:w="80"/>
              <w:left w:type="dxa" w:w="80"/>
              <w:bottom w:type="dxa" w:w="80"/>
              <w:right w:type="dxa" w:w="80"/>
            </w:tcMar>
            <w:vAlign w:val="top"/>
          </w:tcPr>
          <w:p>
            <w:pPr>
              <w:pStyle w:val="Table Style 1"/>
              <w:jc w:val="center"/>
            </w:pPr>
            <w:r>
              <w:rPr>
                <w:rFonts w:ascii="Helvetica Neue" w:hAnsi="Helvetica Neue"/>
                <w:sz w:val="18"/>
                <w:szCs w:val="18"/>
                <w:rtl w:val="0"/>
              </w:rPr>
              <w:t xml:space="preserve">Book </w:t>
            </w:r>
          </w:p>
        </w:tc>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dc0bf"/>
            <w:tcMar>
              <w:top w:type="dxa" w:w="80"/>
              <w:left w:type="dxa" w:w="80"/>
              <w:bottom w:type="dxa" w:w="80"/>
              <w:right w:type="dxa" w:w="80"/>
            </w:tcMar>
            <w:vAlign w:val="center"/>
          </w:tcPr>
          <w:p>
            <w:pPr>
              <w:pStyle w:val="Table Style 1"/>
              <w:jc w:val="center"/>
            </w:pPr>
            <w:r>
              <w:rPr>
                <w:rFonts w:ascii="Helvetica Neue" w:hAnsi="Helvetica Neue"/>
                <w:sz w:val="18"/>
                <w:szCs w:val="18"/>
                <w:rtl w:val="0"/>
              </w:rPr>
              <w:t>Topic of the Study</w:t>
            </w:r>
          </w:p>
        </w:tc>
      </w:tr>
      <w:tr>
        <w:tblPrEx>
          <w:shd w:val="clear" w:color="auto" w:fill="auto"/>
        </w:tblPrEx>
        <w:trPr>
          <w:trHeight w:val="235" w:hRule="atLeast"/>
        </w:trPr>
        <w:tc>
          <w:tcPr>
            <w:tcW w:type="dxa" w:w="1043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b w:val="1"/>
                <w:bCs w:val="1"/>
                <w:sz w:val="18"/>
                <w:szCs w:val="18"/>
                <w:rtl w:val="0"/>
              </w:rPr>
              <w:t xml:space="preserve">Basic </w:t>
            </w:r>
          </w:p>
        </w:tc>
      </w:tr>
      <w:tr>
        <w:tblPrEx>
          <w:shd w:val="clear" w:color="auto" w:fill="auto"/>
        </w:tblPrEx>
        <w:trPr>
          <w:trHeight w:val="457" w:hRule="atLeast"/>
        </w:trPr>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pPr>
            <w:r>
              <w:rPr>
                <w:sz w:val="18"/>
                <w:szCs w:val="18"/>
                <w:rtl w:val="0"/>
                <w:lang w:val="en-US"/>
              </w:rPr>
              <w:t xml:space="preserve">Benware, Paul N. </w:t>
            </w:r>
            <w:r>
              <w:rPr>
                <w:b w:val="1"/>
                <w:bCs w:val="1"/>
                <w:sz w:val="18"/>
                <w:szCs w:val="18"/>
                <w:rtl w:val="0"/>
                <w:lang w:val="en-US"/>
              </w:rPr>
              <w:t>Understanding End Times Prophecy, Revised and Expanded</w:t>
            </w:r>
            <w:r>
              <w:rPr>
                <w:sz w:val="18"/>
                <w:szCs w:val="18"/>
                <w:rtl w:val="0"/>
                <w:lang w:val="en-US"/>
              </w:rPr>
              <w:t xml:space="preserve">. Chicago, Moody Press, 2006. </w:t>
            </w:r>
          </w:p>
        </w:tc>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numPr>
                <w:ilvl w:val="0"/>
                <w:numId w:val="3"/>
              </w:numPr>
              <w:rPr>
                <w:sz w:val="18"/>
                <w:szCs w:val="18"/>
                <w:lang w:val="en-US"/>
              </w:rPr>
            </w:pPr>
            <w:r>
              <w:rPr>
                <w:sz w:val="18"/>
                <w:szCs w:val="18"/>
                <w:rtl w:val="0"/>
                <w:lang w:val="en-US"/>
              </w:rPr>
              <w:t xml:space="preserve">The Covenants. </w:t>
            </w:r>
          </w:p>
          <w:p>
            <w:pPr>
              <w:pStyle w:val="Table Style 2"/>
              <w:numPr>
                <w:ilvl w:val="0"/>
                <w:numId w:val="3"/>
              </w:numPr>
              <w:rPr>
                <w:sz w:val="18"/>
                <w:szCs w:val="18"/>
                <w:lang w:val="en-US"/>
              </w:rPr>
            </w:pPr>
            <w:r>
              <w:rPr>
                <w:sz w:val="18"/>
                <w:szCs w:val="18"/>
                <w:rtl w:val="0"/>
                <w:lang w:val="en-US"/>
              </w:rPr>
              <w:t xml:space="preserve">Future Events: millennium, tribulation, rapture. </w:t>
            </w:r>
          </w:p>
        </w:tc>
      </w:tr>
      <w:tr>
        <w:tblPrEx>
          <w:shd w:val="clear" w:color="auto" w:fill="auto"/>
        </w:tblPrEx>
        <w:trPr>
          <w:trHeight w:val="457" w:hRule="atLeast"/>
        </w:trPr>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pPr>
            <w:r>
              <w:rPr>
                <w:sz w:val="18"/>
                <w:szCs w:val="18"/>
                <w:rtl w:val="0"/>
                <w:lang w:val="fr-FR"/>
              </w:rPr>
              <w:t xml:space="preserve">Ryrie, Charles C. </w:t>
            </w:r>
            <w:r>
              <w:rPr>
                <w:b w:val="1"/>
                <w:bCs w:val="1"/>
                <w:sz w:val="18"/>
                <w:szCs w:val="18"/>
                <w:rtl w:val="0"/>
                <w:lang w:val="en-US"/>
              </w:rPr>
              <w:t>Dispensationalism, Revised and Expanded</w:t>
            </w:r>
            <w:r>
              <w:rPr>
                <w:sz w:val="18"/>
                <w:szCs w:val="18"/>
                <w:rtl w:val="0"/>
                <w:lang w:val="en-US"/>
              </w:rPr>
              <w:t xml:space="preserve">. Chicago: Moody Press, 2007. </w:t>
            </w:r>
          </w:p>
        </w:tc>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pPr>
            <w:r>
              <w:rPr>
                <w:rFonts w:ascii="Helvetica Neue" w:hAnsi="Helvetica Neue"/>
                <w:sz w:val="18"/>
                <w:szCs w:val="18"/>
                <w:rtl w:val="0"/>
              </w:rPr>
              <w:t>Dispensationalism</w:t>
            </w:r>
          </w:p>
        </w:tc>
      </w:tr>
      <w:tr>
        <w:tblPrEx>
          <w:shd w:val="clear" w:color="auto" w:fill="auto"/>
        </w:tblPrEx>
        <w:trPr>
          <w:trHeight w:val="677" w:hRule="atLeast"/>
        </w:trPr>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pPr>
            <w:r>
              <w:rPr>
                <w:sz w:val="18"/>
                <w:szCs w:val="18"/>
                <w:rtl w:val="0"/>
                <w:lang w:val="en-US"/>
              </w:rPr>
              <w:t xml:space="preserve">Showers, Renald E. </w:t>
            </w:r>
            <w:r>
              <w:rPr>
                <w:b w:val="1"/>
                <w:bCs w:val="1"/>
                <w:sz w:val="18"/>
                <w:szCs w:val="18"/>
                <w:rtl w:val="0"/>
                <w:lang w:val="en-US"/>
              </w:rPr>
              <w:t>There Really Is A Difference: A Comparison of Covenant and Dispensational Theology</w:t>
            </w:r>
            <w:r>
              <w:rPr>
                <w:sz w:val="18"/>
                <w:szCs w:val="18"/>
                <w:rtl w:val="0"/>
                <w:lang w:val="en-US"/>
              </w:rPr>
              <w:t xml:space="preserve">. Bellmawr, NJ: The Friends of Israel Gospel Ministry, 2002. </w:t>
            </w:r>
          </w:p>
        </w:tc>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numPr>
                <w:ilvl w:val="0"/>
                <w:numId w:val="4"/>
              </w:numPr>
              <w:rPr>
                <w:sz w:val="18"/>
                <w:szCs w:val="18"/>
                <w:lang w:val="fr-FR"/>
              </w:rPr>
            </w:pPr>
            <w:r>
              <w:rPr>
                <w:sz w:val="18"/>
                <w:szCs w:val="18"/>
                <w:rtl w:val="0"/>
                <w:lang w:val="fr-FR"/>
              </w:rPr>
              <w:t>Dispensationalism</w:t>
            </w:r>
          </w:p>
          <w:p>
            <w:pPr>
              <w:pStyle w:val="Table Style 2"/>
              <w:numPr>
                <w:ilvl w:val="0"/>
                <w:numId w:val="4"/>
              </w:numPr>
              <w:rPr>
                <w:sz w:val="18"/>
                <w:szCs w:val="18"/>
                <w:lang w:val="en-US"/>
              </w:rPr>
            </w:pPr>
            <w:r>
              <w:rPr>
                <w:sz w:val="18"/>
                <w:szCs w:val="18"/>
                <w:rtl w:val="0"/>
                <w:lang w:val="en-US"/>
              </w:rPr>
              <w:t xml:space="preserve">Future Events: millennium, tribulation, rapture. </w:t>
            </w:r>
          </w:p>
        </w:tc>
      </w:tr>
      <w:tr>
        <w:tblPrEx>
          <w:shd w:val="clear" w:color="auto" w:fill="auto"/>
        </w:tblPrEx>
        <w:trPr>
          <w:trHeight w:val="677" w:hRule="atLeast"/>
        </w:trPr>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pPr>
            <w:r>
              <w:rPr>
                <w:sz w:val="18"/>
                <w:szCs w:val="18"/>
                <w:rtl w:val="0"/>
                <w:lang w:val="da-DK"/>
              </w:rPr>
              <w:t xml:space="preserve">Vlach, Michael J. </w:t>
            </w:r>
            <w:r>
              <w:rPr>
                <w:b w:val="1"/>
                <w:bCs w:val="1"/>
                <w:sz w:val="18"/>
                <w:szCs w:val="18"/>
                <w:rtl w:val="0"/>
                <w:lang w:val="en-US"/>
              </w:rPr>
              <w:t>Dispensationalism: Essential Beliefs and Common Myths</w:t>
            </w:r>
            <w:r>
              <w:rPr>
                <w:sz w:val="18"/>
                <w:szCs w:val="18"/>
                <w:rtl w:val="0"/>
                <w:lang w:val="en-US"/>
              </w:rPr>
              <w:t xml:space="preserve">, Revised and Updated. Los Angeles: Theological Studies Press, 2017. </w:t>
            </w:r>
          </w:p>
        </w:tc>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pPr>
            <w:r>
              <w:rPr>
                <w:rFonts w:ascii="Helvetica Neue" w:hAnsi="Helvetica Neue"/>
                <w:sz w:val="18"/>
                <w:szCs w:val="18"/>
                <w:rtl w:val="0"/>
              </w:rPr>
              <w:t>Dispensationalism</w:t>
            </w:r>
          </w:p>
        </w:tc>
      </w:tr>
      <w:tr>
        <w:tblPrEx>
          <w:shd w:val="clear" w:color="auto" w:fill="auto"/>
        </w:tblPrEx>
        <w:trPr>
          <w:trHeight w:val="897" w:hRule="atLeast"/>
        </w:trPr>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pPr>
            <w:r>
              <w:rPr>
                <w:sz w:val="18"/>
                <w:szCs w:val="18"/>
                <w:rtl w:val="0"/>
                <w:lang w:val="en-US"/>
              </w:rPr>
              <w:t xml:space="preserve">Woods, Andrew M. </w:t>
            </w:r>
            <w:r>
              <w:rPr>
                <w:b w:val="1"/>
                <w:bCs w:val="1"/>
                <w:sz w:val="18"/>
                <w:szCs w:val="18"/>
                <w:rtl w:val="0"/>
                <w:lang w:val="en-US"/>
              </w:rPr>
              <w:t>The Coming Kingdom: What Is the Kingdom and How Is Kingdom Now Theology Changing the Focus of the Church?</w:t>
            </w:r>
            <w:r>
              <w:rPr>
                <w:sz w:val="18"/>
                <w:szCs w:val="18"/>
                <w:rtl w:val="0"/>
                <w:lang w:val="en-US"/>
              </w:rPr>
              <w:t xml:space="preserve"> Duluth, MN: Grace Gospel Press, 2016. </w:t>
            </w:r>
          </w:p>
        </w:tc>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pPr>
            <w:r>
              <w:rPr>
                <w:rFonts w:ascii="Helvetica Neue" w:hAnsi="Helvetica Neue"/>
                <w:sz w:val="18"/>
                <w:szCs w:val="18"/>
                <w:rtl w:val="0"/>
              </w:rPr>
              <w:t xml:space="preserve">The Kingdom </w:t>
            </w:r>
          </w:p>
        </w:tc>
      </w:tr>
      <w:tr>
        <w:tblPrEx>
          <w:shd w:val="clear" w:color="auto" w:fill="auto"/>
        </w:tblPrEx>
        <w:trPr>
          <w:trHeight w:val="235" w:hRule="atLeast"/>
        </w:trPr>
        <w:tc>
          <w:tcPr>
            <w:tcW w:type="dxa" w:w="1043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Helvetica Neue" w:hAnsi="Helvetica Neue"/>
                <w:b w:val="1"/>
                <w:bCs w:val="1"/>
                <w:sz w:val="18"/>
                <w:szCs w:val="18"/>
                <w:rtl w:val="0"/>
              </w:rPr>
              <w:t>Advanced</w:t>
            </w:r>
          </w:p>
        </w:tc>
      </w:tr>
      <w:tr>
        <w:tblPrEx>
          <w:shd w:val="clear" w:color="auto" w:fill="auto"/>
        </w:tblPrEx>
        <w:trPr>
          <w:trHeight w:val="677" w:hRule="atLeast"/>
        </w:trPr>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pPr>
            <w:r>
              <w:rPr>
                <w:sz w:val="18"/>
                <w:szCs w:val="18"/>
                <w:rtl w:val="0"/>
                <w:lang w:val="en-US"/>
              </w:rPr>
              <w:t xml:space="preserve">Archer, Gleason L., Paul D. Feinberg, Douglas J. Moo, Richard R. Reiter. </w:t>
            </w:r>
            <w:r>
              <w:rPr>
                <w:b w:val="1"/>
                <w:bCs w:val="1"/>
                <w:sz w:val="18"/>
                <w:szCs w:val="18"/>
                <w:rtl w:val="0"/>
                <w:lang w:val="en-US"/>
              </w:rPr>
              <w:t>Three Views on the Rapture: Pre; Mid; or Post-Tribulation</w:t>
            </w:r>
            <w:r>
              <w:rPr>
                <w:sz w:val="18"/>
                <w:szCs w:val="18"/>
                <w:rtl w:val="0"/>
                <w:lang w:val="en-US"/>
              </w:rPr>
              <w:t>. Grand Rapids: Zondervan, 1996.</w:t>
            </w:r>
          </w:p>
        </w:tc>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pPr>
            <w:r>
              <w:rPr>
                <w:rFonts w:ascii="Helvetica Neue" w:hAnsi="Helvetica Neue"/>
                <w:sz w:val="18"/>
                <w:szCs w:val="18"/>
                <w:rtl w:val="0"/>
              </w:rPr>
              <w:t>The Rapture</w:t>
            </w:r>
          </w:p>
        </w:tc>
      </w:tr>
      <w:tr>
        <w:tblPrEx>
          <w:shd w:val="clear" w:color="auto" w:fill="auto"/>
        </w:tblPrEx>
        <w:trPr>
          <w:trHeight w:val="677" w:hRule="atLeast"/>
        </w:trPr>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pPr>
            <w:r>
              <w:rPr>
                <w:sz w:val="18"/>
                <w:szCs w:val="18"/>
                <w:rtl w:val="0"/>
                <w:lang w:val="en-US"/>
              </w:rPr>
              <w:t xml:space="preserve">Sproule, John A. </w:t>
            </w:r>
            <w:r>
              <w:rPr>
                <w:b w:val="1"/>
                <w:bCs w:val="1"/>
                <w:sz w:val="18"/>
                <w:szCs w:val="18"/>
                <w:rtl w:val="0"/>
                <w:lang w:val="en-US"/>
              </w:rPr>
              <w:t>In Defense of Pre-Tribulationism: A Review of Robert Gundry</w:t>
            </w:r>
            <w:r>
              <w:rPr>
                <w:b w:val="1"/>
                <w:bCs w:val="1"/>
                <w:sz w:val="18"/>
                <w:szCs w:val="18"/>
                <w:rtl w:val="0"/>
                <w:lang w:val="en-US"/>
              </w:rPr>
              <w:t>’</w:t>
            </w:r>
            <w:r>
              <w:rPr>
                <w:b w:val="1"/>
                <w:bCs w:val="1"/>
                <w:sz w:val="18"/>
                <w:szCs w:val="18"/>
                <w:rtl w:val="0"/>
                <w:lang w:val="en-US"/>
              </w:rPr>
              <w:t xml:space="preserve">s </w:t>
            </w:r>
            <w:r>
              <w:rPr>
                <w:b w:val="1"/>
                <w:bCs w:val="1"/>
                <w:sz w:val="18"/>
                <w:szCs w:val="18"/>
                <w:rtl w:val="0"/>
                <w:lang w:val="en-US"/>
              </w:rPr>
              <w:t>“</w:t>
            </w:r>
            <w:r>
              <w:rPr>
                <w:b w:val="1"/>
                <w:bCs w:val="1"/>
                <w:sz w:val="18"/>
                <w:szCs w:val="18"/>
                <w:rtl w:val="0"/>
                <w:lang w:val="en-US"/>
              </w:rPr>
              <w:t>The Church and the Tribulation.</w:t>
            </w:r>
            <w:r>
              <w:rPr>
                <w:b w:val="1"/>
                <w:bCs w:val="1"/>
                <w:sz w:val="18"/>
                <w:szCs w:val="18"/>
                <w:rtl w:val="0"/>
                <w:lang w:val="en-US"/>
              </w:rPr>
              <w:t>”</w:t>
            </w:r>
            <w:r>
              <w:rPr>
                <w:sz w:val="18"/>
                <w:szCs w:val="18"/>
                <w:rtl w:val="0"/>
                <w:lang w:val="en-US"/>
              </w:rPr>
              <w:t xml:space="preserve"> Winona Lake, IN: BMH Books, 1980. </w:t>
            </w:r>
          </w:p>
        </w:tc>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pPr>
            <w:r>
              <w:rPr>
                <w:rFonts w:ascii="Helvetica Neue" w:hAnsi="Helvetica Neue"/>
                <w:sz w:val="18"/>
                <w:szCs w:val="18"/>
                <w:rtl w:val="0"/>
              </w:rPr>
              <w:t>The Rapture</w:t>
            </w:r>
          </w:p>
        </w:tc>
      </w:tr>
      <w:tr>
        <w:tblPrEx>
          <w:shd w:val="clear" w:color="auto" w:fill="auto"/>
        </w:tblPrEx>
        <w:trPr>
          <w:trHeight w:val="457" w:hRule="atLeast"/>
        </w:trPr>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pPr>
            <w:r>
              <w:rPr>
                <w:sz w:val="18"/>
                <w:szCs w:val="18"/>
                <w:rtl w:val="0"/>
                <w:lang w:val="en-US"/>
              </w:rPr>
              <w:t xml:space="preserve">Whitcomb, John C. </w:t>
            </w:r>
            <w:r>
              <w:rPr>
                <w:b w:val="1"/>
                <w:bCs w:val="1"/>
                <w:sz w:val="18"/>
                <w:szCs w:val="18"/>
                <w:rtl w:val="0"/>
                <w:lang w:val="en-US"/>
              </w:rPr>
              <w:t>The Rapture and Beyond: Studies in Biblical Eschatology</w:t>
            </w:r>
            <w:r>
              <w:rPr>
                <w:sz w:val="18"/>
                <w:szCs w:val="18"/>
                <w:rtl w:val="0"/>
                <w:lang w:val="en-US"/>
              </w:rPr>
              <w:t>. Waxhaw, NC: Kainos Books, 2012.</w:t>
            </w:r>
          </w:p>
        </w:tc>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pPr>
            <w:r>
              <w:rPr>
                <w:rFonts w:ascii="Helvetica Neue" w:hAnsi="Helvetica Neue"/>
                <w:sz w:val="18"/>
                <w:szCs w:val="18"/>
                <w:rtl w:val="0"/>
              </w:rPr>
              <w:t>The Rapture</w:t>
            </w:r>
          </w:p>
        </w:tc>
      </w:tr>
      <w:tr>
        <w:tblPrEx>
          <w:shd w:val="clear" w:color="auto" w:fill="auto"/>
        </w:tblPrEx>
        <w:trPr>
          <w:trHeight w:val="456" w:hRule="atLeast"/>
        </w:trPr>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pPr>
            <w:r>
              <w:rPr>
                <w:sz w:val="18"/>
                <w:szCs w:val="18"/>
                <w:rtl w:val="0"/>
                <w:lang w:val="en-US"/>
              </w:rPr>
              <w:t xml:space="preserve">Walvoord, John F. </w:t>
            </w:r>
            <w:r>
              <w:rPr>
                <w:b w:val="1"/>
                <w:bCs w:val="1"/>
                <w:sz w:val="18"/>
                <w:szCs w:val="18"/>
                <w:rtl w:val="0"/>
                <w:lang w:val="en-US"/>
              </w:rPr>
              <w:t>The Rapture Question</w:t>
            </w:r>
            <w:r>
              <w:rPr>
                <w:sz w:val="18"/>
                <w:szCs w:val="18"/>
                <w:rtl w:val="0"/>
                <w:lang w:val="en-US"/>
              </w:rPr>
              <w:t xml:space="preserve">, Revised and Enlarged edition. Grand Rapids: Zondervan, 1979. </w:t>
            </w:r>
          </w:p>
        </w:tc>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pPr>
            <w:r>
              <w:rPr>
                <w:rFonts w:ascii="Helvetica Neue" w:hAnsi="Helvetica Neue"/>
                <w:sz w:val="18"/>
                <w:szCs w:val="18"/>
                <w:rtl w:val="0"/>
              </w:rPr>
              <w:t>The Rapture</w:t>
            </w:r>
          </w:p>
        </w:tc>
      </w:tr>
      <w:tr>
        <w:tblPrEx>
          <w:shd w:val="clear" w:color="auto" w:fill="auto"/>
        </w:tblPrEx>
        <w:trPr>
          <w:trHeight w:val="677" w:hRule="atLeast"/>
        </w:trPr>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pPr>
            <w:r>
              <w:rPr>
                <w:sz w:val="18"/>
                <w:szCs w:val="18"/>
                <w:rtl w:val="0"/>
                <w:lang w:val="en-US"/>
              </w:rPr>
              <w:t xml:space="preserve">MacArthur, John &amp; Richard Mayhue, ed. </w:t>
            </w:r>
            <w:r>
              <w:rPr>
                <w:b w:val="1"/>
                <w:bCs w:val="1"/>
                <w:sz w:val="18"/>
                <w:szCs w:val="18"/>
                <w:rtl w:val="0"/>
                <w:lang w:val="da-DK"/>
              </w:rPr>
              <w:t>Christ</w:t>
            </w:r>
            <w:r>
              <w:rPr>
                <w:b w:val="1"/>
                <w:bCs w:val="1"/>
                <w:sz w:val="18"/>
                <w:szCs w:val="18"/>
                <w:rtl w:val="1"/>
              </w:rPr>
              <w:t>’</w:t>
            </w:r>
            <w:r>
              <w:rPr>
                <w:b w:val="1"/>
                <w:bCs w:val="1"/>
                <w:sz w:val="18"/>
                <w:szCs w:val="18"/>
                <w:rtl w:val="0"/>
                <w:lang w:val="en-US"/>
              </w:rPr>
              <w:t>s Prophetic Plans: A Futuristic Premillennial Primer</w:t>
            </w:r>
            <w:r>
              <w:rPr>
                <w:sz w:val="18"/>
                <w:szCs w:val="18"/>
                <w:rtl w:val="0"/>
                <w:lang w:val="en-US"/>
              </w:rPr>
              <w:t xml:space="preserve">. Chicago: Moody Press, 2012. </w:t>
            </w:r>
          </w:p>
        </w:tc>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pPr>
            <w:r>
              <w:rPr>
                <w:rFonts w:ascii="Helvetica Neue" w:hAnsi="Helvetica Neue"/>
                <w:sz w:val="18"/>
                <w:szCs w:val="18"/>
                <w:rtl w:val="0"/>
              </w:rPr>
              <w:t>Future Events</w:t>
            </w:r>
          </w:p>
        </w:tc>
      </w:tr>
      <w:tr>
        <w:tblPrEx>
          <w:shd w:val="clear" w:color="auto" w:fill="auto"/>
        </w:tblPrEx>
        <w:trPr>
          <w:trHeight w:val="456" w:hRule="atLeast"/>
        </w:trPr>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pPr>
            <w:r>
              <w:rPr>
                <w:sz w:val="18"/>
                <w:szCs w:val="18"/>
                <w:rtl w:val="0"/>
                <w:lang w:val="en-US"/>
              </w:rPr>
              <w:t xml:space="preserve">Couch, Mal, Ed. </w:t>
            </w:r>
            <w:r>
              <w:rPr>
                <w:b w:val="1"/>
                <w:bCs w:val="1"/>
                <w:sz w:val="18"/>
                <w:szCs w:val="18"/>
                <w:rtl w:val="0"/>
                <w:lang w:val="en-US"/>
              </w:rPr>
              <w:t>Dictionary of Premillennial Theology</w:t>
            </w:r>
            <w:r>
              <w:rPr>
                <w:sz w:val="18"/>
                <w:szCs w:val="18"/>
                <w:rtl w:val="0"/>
                <w:lang w:val="en-US"/>
              </w:rPr>
              <w:t xml:space="preserve">. Grand Rapids: Kregel Publications, 1996. </w:t>
            </w:r>
          </w:p>
        </w:tc>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pPr>
            <w:r>
              <w:rPr>
                <w:rFonts w:ascii="Helvetica Neue" w:hAnsi="Helvetica Neue"/>
                <w:sz w:val="18"/>
                <w:szCs w:val="18"/>
                <w:rtl w:val="0"/>
              </w:rPr>
              <w:t xml:space="preserve">Gives definitions and descriptions of key words and idea  involved in eschatology. </w:t>
            </w:r>
          </w:p>
        </w:tc>
      </w:tr>
      <w:tr>
        <w:tblPrEx>
          <w:shd w:val="clear" w:color="auto" w:fill="auto"/>
        </w:tblPrEx>
        <w:trPr>
          <w:trHeight w:val="677" w:hRule="atLeast"/>
        </w:trPr>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pPr>
            <w:r>
              <w:rPr>
                <w:sz w:val="18"/>
                <w:szCs w:val="18"/>
                <w:rtl w:val="0"/>
                <w:lang w:val="en-US"/>
              </w:rPr>
              <w:t xml:space="preserve">Pentecost, Dwight. </w:t>
            </w:r>
            <w:r>
              <w:rPr>
                <w:b w:val="1"/>
                <w:bCs w:val="1"/>
                <w:sz w:val="18"/>
                <w:szCs w:val="18"/>
                <w:rtl w:val="0"/>
                <w:lang w:val="en-US"/>
              </w:rPr>
              <w:t>Things To Come: A Study in Biblical Eschatology</w:t>
            </w:r>
            <w:r>
              <w:rPr>
                <w:sz w:val="18"/>
                <w:szCs w:val="18"/>
                <w:rtl w:val="0"/>
                <w:lang w:val="en-US"/>
              </w:rPr>
              <w:t xml:space="preserve">. Findlay, OH: Dunham Publishing Company, 1961. </w:t>
            </w:r>
          </w:p>
        </w:tc>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pPr>
            <w:r>
              <w:rPr>
                <w:rFonts w:ascii="Helvetica Neue" w:hAnsi="Helvetica Neue"/>
                <w:sz w:val="18"/>
                <w:szCs w:val="18"/>
                <w:rtl w:val="0"/>
              </w:rPr>
              <w:t xml:space="preserve">A general work of last things from a dispensational point of view. </w:t>
            </w:r>
          </w:p>
        </w:tc>
      </w:tr>
      <w:tr>
        <w:tblPrEx>
          <w:shd w:val="clear" w:color="auto" w:fill="auto"/>
        </w:tblPrEx>
        <w:trPr>
          <w:trHeight w:val="677" w:hRule="atLeast"/>
        </w:trPr>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pPr>
            <w:r>
              <w:rPr>
                <w:sz w:val="18"/>
                <w:szCs w:val="18"/>
                <w:rtl w:val="0"/>
                <w:lang w:val="pt-PT"/>
              </w:rPr>
              <w:t xml:space="preserve">McClain, Alva J. </w:t>
            </w:r>
            <w:r>
              <w:rPr>
                <w:b w:val="1"/>
                <w:bCs w:val="1"/>
                <w:sz w:val="18"/>
                <w:szCs w:val="18"/>
                <w:rtl w:val="0"/>
                <w:lang w:val="en-US"/>
              </w:rPr>
              <w:t>The Greatness of the Kingdom: An Inductive Study of the Kingdom of God as Set Forth in the Scriptures</w:t>
            </w:r>
            <w:r>
              <w:rPr>
                <w:sz w:val="18"/>
                <w:szCs w:val="18"/>
                <w:rtl w:val="0"/>
                <w:lang w:val="nl-NL"/>
              </w:rPr>
              <w:t xml:space="preserve">. Grand Rapids: Zondervan, 1959. </w:t>
            </w:r>
          </w:p>
        </w:tc>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pPr>
            <w:r>
              <w:rPr>
                <w:rFonts w:ascii="Helvetica Neue" w:hAnsi="Helvetica Neue"/>
                <w:sz w:val="18"/>
                <w:szCs w:val="18"/>
                <w:rtl w:val="0"/>
              </w:rPr>
              <w:t xml:space="preserve">The Kingdom </w:t>
            </w:r>
          </w:p>
        </w:tc>
      </w:tr>
      <w:tr>
        <w:tblPrEx>
          <w:shd w:val="clear" w:color="auto" w:fill="auto"/>
        </w:tblPrEx>
        <w:trPr>
          <w:trHeight w:val="897" w:hRule="atLeast"/>
        </w:trPr>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pPr>
            <w:r>
              <w:rPr>
                <w:sz w:val="18"/>
                <w:szCs w:val="18"/>
                <w:rtl w:val="0"/>
                <w:lang w:val="en-US"/>
              </w:rPr>
              <w:t xml:space="preserve">Feinberg, Charles L. </w:t>
            </w:r>
            <w:r>
              <w:rPr>
                <w:b w:val="1"/>
                <w:bCs w:val="1"/>
                <w:sz w:val="18"/>
                <w:szCs w:val="18"/>
                <w:rtl w:val="0"/>
                <w:lang w:val="en-US"/>
              </w:rPr>
              <w:t>Millennialism: The Two Major Views; The Premillennial and Amillennial Systems of Biblical Interpretation Analyzed &amp; Compared, 3rd and Enlarged Edition</w:t>
            </w:r>
            <w:r>
              <w:rPr>
                <w:sz w:val="18"/>
                <w:szCs w:val="18"/>
                <w:rtl w:val="0"/>
                <w:lang w:val="en-US"/>
              </w:rPr>
              <w:t>. Winona Lake, IN: BMH Books, 1985</w:t>
            </w:r>
          </w:p>
        </w:tc>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pPr>
            <w:r>
              <w:rPr>
                <w:rFonts w:ascii="Helvetica Neue" w:hAnsi="Helvetica Neue"/>
                <w:sz w:val="18"/>
                <w:szCs w:val="18"/>
                <w:rtl w:val="0"/>
              </w:rPr>
              <w:t>The Millennium</w:t>
            </w:r>
          </w:p>
        </w:tc>
      </w:tr>
      <w:tr>
        <w:tblPrEx>
          <w:shd w:val="clear" w:color="auto" w:fill="auto"/>
        </w:tblPrEx>
        <w:trPr>
          <w:trHeight w:val="457" w:hRule="atLeast"/>
        </w:trPr>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pPr>
            <w:r>
              <w:rPr>
                <w:sz w:val="18"/>
                <w:szCs w:val="18"/>
                <w:rtl w:val="0"/>
                <w:lang w:val="en-US"/>
              </w:rPr>
              <w:t xml:space="preserve">Walvoord, John F. </w:t>
            </w:r>
            <w:r>
              <w:rPr>
                <w:b w:val="1"/>
                <w:bCs w:val="1"/>
                <w:sz w:val="18"/>
                <w:szCs w:val="18"/>
                <w:rtl w:val="0"/>
                <w:lang w:val="en-US"/>
              </w:rPr>
              <w:t>The Millennial Kingdom: A Basic Text in Premillennial Theology</w:t>
            </w:r>
            <w:r>
              <w:rPr>
                <w:sz w:val="18"/>
                <w:szCs w:val="18"/>
                <w:rtl w:val="0"/>
                <w:lang w:val="en-US"/>
              </w:rPr>
              <w:t xml:space="preserve">. Grand Rapids: Zondervan, 1959. </w:t>
            </w:r>
          </w:p>
        </w:tc>
        <w:tc>
          <w:tcPr>
            <w:tcW w:type="dxa" w:w="521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Table Style 2"/>
            </w:pPr>
            <w:r>
              <w:rPr>
                <w:rFonts w:ascii="Helvetica Neue" w:hAnsi="Helvetica Neue"/>
                <w:sz w:val="18"/>
                <w:szCs w:val="18"/>
                <w:rtl w:val="0"/>
              </w:rPr>
              <w:t>The Millennium</w:t>
            </w:r>
          </w:p>
        </w:tc>
      </w:tr>
    </w:tbl>
    <w:p>
      <w:pPr>
        <w:pStyle w:val="Body"/>
        <w:bidi w:val="0"/>
      </w:pPr>
      <w:r/>
    </w:p>
    <w:sectPr>
      <w:headerReference w:type="default" r:id="rId4"/>
      <w:footerReference w:type="default" r:id="rId5"/>
      <w:pgSz w:w="12240" w:h="15840" w:orient="portrait"/>
      <w:pgMar w:top="720" w:right="720" w:bottom="72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220"/>
        <w:tab w:val="right" w:pos="10440"/>
        <w:tab w:val="clear" w:pos="9020"/>
      </w:tabs>
      <w:jc w:val="left"/>
    </w:pPr>
    <w:r>
      <w:rPr>
        <w:rFonts w:ascii="Helvetica Neue Medium" w:hAnsi="Helvetica Neue Medium"/>
        <w:sz w:val="16"/>
        <w:szCs w:val="16"/>
      </w:rPr>
      <w:tab/>
    </w:r>
    <w:r>
      <w:rPr>
        <w:rFonts w:ascii="Helvetica Neue Medium" w:hAnsi="Helvetica Neue Medium"/>
        <w:sz w:val="16"/>
        <w:szCs w:val="16"/>
      </w:rPr>
      <w:fldChar w:fldCharType="begin" w:fldLock="0"/>
    </w:r>
    <w:r>
      <w:rPr>
        <w:rFonts w:ascii="Helvetica Neue Medium" w:hAnsi="Helvetica Neue Medium"/>
        <w:sz w:val="16"/>
        <w:szCs w:val="16"/>
      </w:rPr>
      <w:instrText xml:space="preserve"> PAGE </w:instrText>
    </w:r>
    <w:r>
      <w:rPr>
        <w:rFonts w:ascii="Helvetica Neue Medium" w:hAnsi="Helvetica Neue Medium"/>
        <w:sz w:val="16"/>
        <w:szCs w:val="16"/>
      </w:rPr>
      <w:fldChar w:fldCharType="separate" w:fldLock="0"/>
    </w:r>
    <w:r>
      <w:rPr>
        <w:rFonts w:ascii="Helvetica Neue Medium" w:hAnsi="Helvetica Neue Medium"/>
        <w:sz w:val="16"/>
        <w:szCs w:val="16"/>
      </w:rPr>
    </w:r>
    <w:r>
      <w:rPr>
        <w:rFonts w:ascii="Helvetica Neue Medium" w:hAnsi="Helvetica Neue Medium"/>
        <w:sz w:val="16"/>
        <w:szCs w:val="16"/>
      </w:rPr>
      <w:fldChar w:fldCharType="end" w:fldLock="0"/>
    </w:r>
    <w:r>
      <w:rPr>
        <w:rFonts w:ascii="Helvetica Neue Medium" w:hAnsi="Helvetica Neue Medium"/>
        <w:sz w:val="16"/>
        <w:szCs w:val="16"/>
        <w:rtl w:val="0"/>
        <w:lang w:val="en-US"/>
      </w:rPr>
      <w:t xml:space="preserve"> of </w:t>
    </w:r>
    <w:r>
      <w:rPr>
        <w:rFonts w:ascii="Helvetica Neue Medium" w:cs="Helvetica Neue Medium" w:hAnsi="Helvetica Neue Medium" w:eastAsia="Helvetica Neue Medium"/>
        <w:sz w:val="16"/>
        <w:szCs w:val="16"/>
      </w:rPr>
      <w:fldChar w:fldCharType="begin" w:fldLock="0"/>
    </w:r>
    <w:r>
      <w:rPr>
        <w:rFonts w:ascii="Helvetica Neue Medium" w:cs="Helvetica Neue Medium" w:hAnsi="Helvetica Neue Medium" w:eastAsia="Helvetica Neue Medium"/>
        <w:sz w:val="16"/>
        <w:szCs w:val="16"/>
      </w:rPr>
      <w:instrText xml:space="preserve"> NUMPAGES </w:instrText>
    </w:r>
    <w:r>
      <w:rPr>
        <w:rFonts w:ascii="Helvetica Neue Medium" w:cs="Helvetica Neue Medium" w:hAnsi="Helvetica Neue Medium" w:eastAsia="Helvetica Neue Medium"/>
        <w:sz w:val="16"/>
        <w:szCs w:val="16"/>
      </w:rPr>
      <w:fldChar w:fldCharType="separate" w:fldLock="0"/>
    </w:r>
    <w:r>
      <w:rPr>
        <w:rFonts w:ascii="Helvetica Neue Medium" w:cs="Helvetica Neue Medium" w:hAnsi="Helvetica Neue Medium" w:eastAsia="Helvetica Neue Medium"/>
        <w:sz w:val="16"/>
        <w:szCs w:val="16"/>
      </w:rPr>
    </w:r>
    <w:r>
      <w:rPr>
        <w:rFonts w:ascii="Helvetica Neue Medium" w:cs="Helvetica Neue Medium" w:hAnsi="Helvetica Neue Medium" w:eastAsia="Helvetica Neue Medium"/>
        <w:sz w:val="16"/>
        <w:szCs w:val="16"/>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lvl w:ilvl="0">
      <w:start w:val="1"/>
      <w:numFmt w:val="bullet"/>
      <w:suff w:val="tab"/>
      <w:lvlText w:val="•"/>
      <w:lvlJc w:val="left"/>
      <w:pPr>
        <w:ind w:left="147" w:hanging="14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27" w:hanging="147"/>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07" w:hanging="147"/>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87" w:hanging="147"/>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67" w:hanging="147"/>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47" w:hanging="147"/>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27" w:hanging="147"/>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07" w:hanging="147"/>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87" w:hanging="147"/>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multiLevelType w:val="hybridMultilevel"/>
    <w:lvl w:ilvl="0">
      <w:start w:val="1"/>
      <w:numFmt w:val="bullet"/>
      <w:suff w:val="tab"/>
      <w:lvlText w:val="•"/>
      <w:lvlJc w:val="left"/>
      <w:pPr>
        <w:ind w:left="147" w:hanging="14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27" w:hanging="147"/>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07" w:hanging="147"/>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87" w:hanging="147"/>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67" w:hanging="147"/>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47" w:hanging="147"/>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27" w:hanging="147"/>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07" w:hanging="147"/>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87" w:hanging="147"/>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