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6"/>
          <w:szCs w:val="26"/>
        </w:rPr>
      </w:pP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 xml:space="preserve">6 </w:t>
      </w:r>
      <w:r>
        <w:rPr>
          <w:rFonts w:ascii="Graphik" w:hAnsi="Graphik" w:hint="default"/>
          <w:b w:val="1"/>
          <w:bCs w:val="1"/>
          <w:caps w:val="1"/>
          <w:sz w:val="26"/>
          <w:szCs w:val="26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 xml:space="preserve">The Covenants </w:t>
      </w:r>
      <w:r>
        <w:rPr>
          <w:rFonts w:ascii="Graphik" w:hAnsi="Graphik" w:hint="default"/>
          <w:b w:val="1"/>
          <w:bCs w:val="1"/>
          <w:caps w:val="1"/>
          <w:sz w:val="26"/>
          <w:szCs w:val="26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 xml:space="preserve">The Land Covenant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 xml:space="preserve">Introduction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Implications of the Land Covenant:</w:t>
      </w: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Implications relating to Historic or Ancient Israel.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Implications relating to Israel today.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Implications relating to Israel in the Eschaton or the End Times.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A word about the term </w:t>
      </w:r>
      <w:r>
        <w:rPr>
          <w:rFonts w:ascii="Graphik" w:hAnsi="Graphik" w:hint="default"/>
          <w:b w:val="1"/>
          <w:bCs w:val="1"/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>Palestinian.</w:t>
      </w:r>
      <w:r>
        <w:rPr>
          <w:rFonts w:ascii="Graphik" w:hAnsi="Graphik" w:hint="default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”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term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Palestine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is a geographical word and not an ethnic one.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name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Palestinian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comes from 2nd century A.D. Rome;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i w:val="1"/>
          <w:iCs w:val="1"/>
          <w:sz w:val="20"/>
          <w:szCs w:val="20"/>
          <w:rtl w:val="0"/>
          <w:lang w:val="en-US"/>
        </w:rPr>
        <w:t>Palestinia</w:t>
      </w:r>
      <w:r>
        <w:rPr>
          <w:rFonts w:ascii="Graphik" w:hAnsi="Graphik"/>
          <w:sz w:val="20"/>
          <w:szCs w:val="20"/>
          <w:rtl w:val="0"/>
          <w:lang w:val="en-US"/>
        </w:rPr>
        <w:t>.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1"/>
          <w:lang w:val="en-US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 xml:space="preserve">The strategic significance of the land. </w:t>
      </w: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Theological Significance.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Religious Significance.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Economic Significance </w:t>
      </w:r>
      <w:r>
        <w:rPr>
          <w:rFonts w:ascii="Graphik" w:hAnsi="Graphik"/>
          <w:b w:val="0"/>
          <w:bCs w:val="0"/>
          <w:sz w:val="20"/>
          <w:szCs w:val="20"/>
          <w:rtl w:val="0"/>
          <w:lang w:val="en-US"/>
        </w:rPr>
        <w:t>[</w:t>
      </w:r>
      <w:r>
        <w:rPr>
          <w:rFonts w:ascii="Graphik" w:hAnsi="Graphik" w:hint="default"/>
          <w:b w:val="0"/>
          <w:bCs w:val="0"/>
          <w:sz w:val="20"/>
          <w:szCs w:val="20"/>
          <w:rtl w:val="0"/>
          <w:lang w:val="en-US"/>
        </w:rPr>
        <w:t>“</w:t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fldChar w:fldCharType="begin" w:fldLock="0"/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instrText xml:space="preserve"> HYPERLINK "https://www.pef.org.uk"</w:instrText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fldChar w:fldCharType="separate" w:fldLock="0"/>
      </w:r>
      <w:r>
        <w:rPr>
          <w:rStyle w:val="Hyperlink.0"/>
          <w:rFonts w:ascii="Graphik" w:hAnsi="Graphik"/>
          <w:b w:val="0"/>
          <w:bCs w:val="0"/>
          <w:sz w:val="20"/>
          <w:szCs w:val="20"/>
          <w:rtl w:val="0"/>
          <w:lang w:val="en-US"/>
        </w:rPr>
        <w:t>Palestine Exploration Fund</w:t>
      </w:r>
      <w:r>
        <w:rPr>
          <w:rFonts w:ascii="Graphik" w:cs="Graphik" w:hAnsi="Graphik" w:eastAsia="Graphik"/>
          <w:b w:val="1"/>
          <w:bCs w:val="1"/>
          <w:sz w:val="20"/>
          <w:szCs w:val="20"/>
        </w:rPr>
        <w:fldChar w:fldCharType="end" w:fldLock="0"/>
      </w:r>
      <w:r>
        <w:rPr>
          <w:rFonts w:ascii="Graphik" w:hAnsi="Graphik" w:hint="default"/>
          <w:b w:val="0"/>
          <w:bCs w:val="0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b w:val="0"/>
          <w:bCs w:val="0"/>
          <w:sz w:val="20"/>
          <w:szCs w:val="20"/>
          <w:rtl w:val="0"/>
          <w:lang w:val="en-US"/>
        </w:rPr>
        <w:t>"</w:t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fldChar w:fldCharType="begin" w:fldLock="0"/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instrText xml:space="preserve"> HYPERLINK "https://daahl.ucsd.edu/DAAHL/Home.php"</w:instrText>
      </w:r>
      <w:r>
        <w:rPr>
          <w:rStyle w:val="Hyperlink.0"/>
          <w:rFonts w:ascii="Graphik" w:cs="Graphik" w:hAnsi="Graphik" w:eastAsia="Graphik"/>
          <w:b w:val="0"/>
          <w:bCs w:val="0"/>
          <w:sz w:val="20"/>
          <w:szCs w:val="20"/>
        </w:rPr>
        <w:fldChar w:fldCharType="separate" w:fldLock="0"/>
      </w:r>
      <w:r>
        <w:rPr>
          <w:rStyle w:val="Hyperlink.0"/>
          <w:rFonts w:ascii="Graphik" w:hAnsi="Graphik"/>
          <w:b w:val="0"/>
          <w:bCs w:val="0"/>
          <w:sz w:val="20"/>
          <w:szCs w:val="20"/>
          <w:rtl w:val="0"/>
          <w:lang w:val="en-US"/>
        </w:rPr>
        <w:t>Digital Archaeological Atlas of the Holy Land</w:t>
      </w:r>
      <w:r>
        <w:rPr>
          <w:rFonts w:ascii="Graphik" w:cs="Graphik" w:hAnsi="Graphik" w:eastAsia="Graphik"/>
          <w:b w:val="1"/>
          <w:bCs w:val="1"/>
          <w:sz w:val="20"/>
          <w:szCs w:val="20"/>
        </w:rPr>
        <w:fldChar w:fldCharType="end" w:fldLock="0"/>
      </w:r>
      <w:r>
        <w:rPr>
          <w:rFonts w:ascii="Graphik" w:hAnsi="Graphik"/>
          <w:b w:val="0"/>
          <w:bCs w:val="0"/>
          <w:sz w:val="20"/>
          <w:szCs w:val="20"/>
          <w:rtl w:val="0"/>
          <w:lang w:val="en-US"/>
        </w:rPr>
        <w:t>"]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0"/>
          <w:bCs w:val="0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Political Significance.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1"/>
          <w:lang w:val="en-US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 xml:space="preserve">The connection to the Abrahamic Covenant. </w:t>
      </w: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12:1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13:14-17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15:18-21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17:8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</w:rPr>
      </w:pPr>
    </w:p>
    <w:p>
      <w:pPr>
        <w:pStyle w:val="Body"/>
        <w:numPr>
          <w:ilvl w:val="0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1"/>
          <w:lang w:val="en-US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 xml:space="preserve">4 aspects of the Land Covenant. </w:t>
      </w: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It is an unconditional covenant.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It is an everlasting covenant.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>It is enjoyed based on a condition. (Dt 5:31-33)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Reiteration, Repetition, reaffirmation of the land promise. </w:t>
      </w: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Gen 12:1 with v. 7.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Gen 13:14-15, 17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Gen 15:7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Gen 17:7-8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Num 34:1-15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Dt 30:5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Josh 1:2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1Kgs 8:33-34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1Kgs 9:7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2Kgs 21:8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Neh 9:8ff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Jer 7:1-15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Ezk 11:15 &amp; 17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Ezk 36:28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Consider some related NT passages: </w:t>
      </w: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Acts 1:6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Acts 3:21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Rom 11:11-12 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Rev 20-21 w/ Zech 14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4"/>
        </w:numPr>
        <w:spacing w:line="264" w:lineRule="auto"/>
        <w:jc w:val="both"/>
        <w:rPr>
          <w:rFonts w:ascii="Graphik" w:hAnsi="Graphik"/>
          <w:b w:val="1"/>
          <w:bCs w:val="1"/>
          <w:caps w:val="1"/>
          <w:lang w:val="en-US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 xml:space="preserve">The fulfillment of the covenant. </w:t>
      </w:r>
    </w:p>
    <w:p>
      <w:pPr>
        <w:pStyle w:val="Body"/>
        <w:numPr>
          <w:ilvl w:val="1"/>
          <w:numId w:val="5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rtl w:val="0"/>
          <w:lang w:val="en-US"/>
        </w:rPr>
        <w:t xml:space="preserve">Not fulfilled in the Old Testament times. </w:t>
      </w:r>
    </w:p>
    <w:p>
      <w:pPr>
        <w:pStyle w:val="Body"/>
        <w:spacing w:line="264" w:lineRule="auto"/>
        <w:ind w:left="720" w:firstLine="0"/>
        <w:jc w:val="both"/>
        <w:rPr>
          <w:rFonts w:ascii="Graphik" w:cs="Graphik" w:hAnsi="Graphik" w:eastAsia="Graphik"/>
          <w:caps w:val="0"/>
          <w:smallCaps w:val="0"/>
          <w:sz w:val="20"/>
          <w:szCs w:val="20"/>
        </w:rPr>
      </w:pPr>
      <w:r>
        <w:rPr>
          <w:rFonts w:ascii="Graphik" w:hAnsi="Graphik"/>
          <w:caps w:val="0"/>
          <w:smallCaps w:val="0"/>
          <w:sz w:val="20"/>
          <w:szCs w:val="20"/>
          <w:rtl w:val="0"/>
          <w:lang w:val="en-US"/>
        </w:rPr>
        <w:t xml:space="preserve">Some believe the land promise was fulfilled either in the days of Joshua or Solomon. </w:t>
      </w:r>
    </w:p>
    <w:p>
      <w:pPr>
        <w:pStyle w:val="Body"/>
        <w:spacing w:line="264" w:lineRule="auto"/>
        <w:ind w:left="720" w:firstLine="0"/>
        <w:jc w:val="both"/>
        <w:rPr>
          <w:rFonts w:ascii="Graphik" w:cs="Graphik" w:hAnsi="Graphik" w:eastAsia="Graphik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5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caps w:val="0"/>
          <w:smallCaps w:val="0"/>
          <w:sz w:val="20"/>
          <w:szCs w:val="20"/>
          <w:rtl w:val="0"/>
          <w:lang w:val="en-US"/>
        </w:rPr>
        <w:t>The  covenant was not fulfilled in the time of Joshua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5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Covenant was not fulfilled in the time of Solomon.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5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rtl w:val="0"/>
          <w:lang w:val="en-US"/>
        </w:rPr>
        <w:t xml:space="preserve">Not fulfilled in the New Testament Times.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</w:rPr>
      </w:pPr>
    </w:p>
    <w:p>
      <w:pPr>
        <w:pStyle w:val="Body"/>
        <w:numPr>
          <w:ilvl w:val="1"/>
          <w:numId w:val="5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rtl w:val="0"/>
          <w:lang w:val="en-US"/>
        </w:rPr>
        <w:t xml:space="preserve">Not fulfilled Now.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</w:rPr>
      </w:pPr>
    </w:p>
    <w:p>
      <w:pPr>
        <w:pStyle w:val="Body"/>
        <w:numPr>
          <w:ilvl w:val="1"/>
          <w:numId w:val="5"/>
        </w:numPr>
        <w:spacing w:line="264" w:lineRule="auto"/>
        <w:jc w:val="both"/>
        <w:rPr>
          <w:rFonts w:ascii="Graphik" w:hAnsi="Graphik"/>
          <w:b w:val="1"/>
          <w:bCs w:val="1"/>
          <w:caps w:val="0"/>
          <w:smallCaps w:val="0"/>
          <w:lang w:val="en-US"/>
        </w:rPr>
      </w:pPr>
      <w:r>
        <w:rPr>
          <w:rFonts w:ascii="Graphik" w:hAnsi="Graphik"/>
          <w:b w:val="1"/>
          <w:bCs w:val="1"/>
          <w:caps w:val="0"/>
          <w:smallCaps w:val="0"/>
          <w:rtl w:val="0"/>
          <w:lang w:val="en-US"/>
        </w:rPr>
        <w:t xml:space="preserve">Fulfilled in the future. </w:t>
      </w:r>
    </w:p>
    <w:p>
      <w:pPr>
        <w:pStyle w:val="Body"/>
        <w:spacing w:line="264" w:lineRule="auto"/>
        <w:ind w:left="720" w:firstLine="0"/>
        <w:jc w:val="both"/>
        <w:rPr>
          <w:rFonts w:ascii="Graphik" w:cs="Graphik" w:hAnsi="Graphik" w:eastAsia="Graphik"/>
          <w:caps w:val="0"/>
          <w:smallCaps w:val="0"/>
          <w:sz w:val="20"/>
          <w:szCs w:val="20"/>
        </w:rPr>
      </w:pPr>
      <w:r>
        <w:rPr>
          <w:rFonts w:ascii="Graphik" w:hAnsi="Graphik"/>
          <w:caps w:val="0"/>
          <w:smallCaps w:val="0"/>
          <w:sz w:val="20"/>
          <w:szCs w:val="20"/>
          <w:rtl w:val="0"/>
          <w:lang w:val="en-US"/>
        </w:rPr>
        <w:t>After the fulfillment of the New Covenant.</w:t>
      </w: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Dt 30:1-6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Jer 23:1-8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After the Messiah Comes as the reigning King.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Jer 30-31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Ezk 11:14-21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Ezk 36:16-38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Ezk 37:21-25</w:t>
      </w:r>
    </w:p>
    <w:p>
      <w:pPr>
        <w:pStyle w:val="Body"/>
        <w:spacing w:line="264" w:lineRule="auto"/>
        <w:ind w:left="1440" w:firstLine="0"/>
        <w:jc w:val="both"/>
      </w:pPr>
      <w:r>
        <w:rPr>
          <w:rFonts w:ascii="Graphik" w:cs="Graphik" w:hAnsi="Graphik" w:eastAsia="Graphik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sz w:val="16"/>
        <w:szCs w:val="16"/>
        <w:rtl w:val="0"/>
        <w:lang w:val="en-US"/>
      </w:rPr>
      <w:t>God</w:t>
    </w:r>
    <w:r>
      <w:rPr>
        <w:sz w:val="16"/>
        <w:szCs w:val="16"/>
        <w:rtl w:val="0"/>
        <w:lang w:val="en-US"/>
      </w:rPr>
      <w:t>’</w:t>
    </w:r>
    <w:r>
      <w:rPr>
        <w:sz w:val="16"/>
        <w:szCs w:val="16"/>
        <w:rtl w:val="0"/>
        <w:lang w:val="en-US"/>
      </w:rPr>
      <w:t xml:space="preserve">s Plan for History </w:t>
    </w:r>
    <w:r>
      <w:rPr>
        <w:sz w:val="16"/>
        <w:szCs w:val="16"/>
      </w:rPr>
      <w:tab/>
      <w:tab/>
    </w:r>
    <w:r>
      <w:rPr>
        <w:rFonts w:ascii="Graphik" w:cs="Arial Unicode MS" w:hAnsi="Graphik" w:eastAsia="Arial Unicode MS"/>
        <w:b w:val="0"/>
        <w:bCs w:val="0"/>
        <w:i w:val="0"/>
        <w:iCs w:val="0"/>
        <w:sz w:val="16"/>
        <w:szCs w:val="16"/>
        <w:rtl w:val="0"/>
        <w:lang w:val="en-US"/>
      </w:rPr>
      <w:t>The Land Covenant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Harvard"/>
  </w:abstractNum>
  <w:abstractNum w:abstractNumId="3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Harvard">
    <w:name w:val="Harvard"/>
    <w:pPr>
      <w:numPr>
        <w:numId w:val="3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