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Graphik" w:cs="Graphik" w:hAnsi="Graphik" w:eastAsia="Graphik"/>
          <w:b w:val="1"/>
          <w:bCs w:val="1"/>
          <w:caps w:val="1"/>
        </w:rPr>
      </w:pPr>
      <w:r>
        <w:rPr>
          <w:rFonts w:ascii="Graphik" w:hAnsi="Graphik"/>
          <w:b w:val="1"/>
          <w:bCs w:val="1"/>
          <w:caps w:val="1"/>
          <w:rtl w:val="0"/>
          <w:lang w:val="en-US"/>
        </w:rPr>
        <w:t>God</w:t>
      </w:r>
      <w:r>
        <w:rPr>
          <w:rFonts w:ascii="Graphik" w:hAnsi="Graphik" w:hint="default"/>
          <w:b w:val="1"/>
          <w:bCs w:val="1"/>
          <w:caps w:val="1"/>
          <w:rtl w:val="0"/>
          <w:lang w:val="en-US"/>
        </w:rPr>
        <w:t>’</w:t>
      </w:r>
      <w:r>
        <w:rPr>
          <w:rFonts w:ascii="Graphik" w:hAnsi="Graphik"/>
          <w:b w:val="1"/>
          <w:bCs w:val="1"/>
          <w:caps w:val="1"/>
          <w:rtl w:val="0"/>
          <w:lang w:val="en-US"/>
        </w:rPr>
        <w:t>s Plan for History</w:t>
      </w:r>
    </w:p>
    <w:p>
      <w:pPr>
        <w:pStyle w:val="Body"/>
        <w:jc w:val="center"/>
        <w:rPr>
          <w:rFonts w:ascii="Graphik" w:cs="Graphik" w:hAnsi="Graphik" w:eastAsia="Graphik"/>
          <w:b w:val="1"/>
          <w:bCs w:val="1"/>
          <w:u w:val="single"/>
        </w:rPr>
      </w:pPr>
      <w:r>
        <w:rPr>
          <w:rFonts w:ascii="Graphik" w:hAnsi="Graphik"/>
          <w:b w:val="1"/>
          <w:bCs w:val="1"/>
          <w:u w:val="single"/>
          <w:rtl w:val="0"/>
          <w:lang w:val="en-US"/>
        </w:rPr>
        <w:t>An Introduction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What is God doing?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An Explanation of our Title 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>“</w:t>
      </w:r>
      <w:r>
        <w:rPr>
          <w:rFonts w:ascii="Graphik Medium" w:hAnsi="Graphik Medium"/>
          <w:sz w:val="18"/>
          <w:szCs w:val="18"/>
          <w:rtl w:val="0"/>
          <w:lang w:val="en-US"/>
        </w:rPr>
        <w:t>God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>s Plan For History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>”</w:t>
      </w:r>
      <w:r>
        <w:rPr>
          <w:rFonts w:ascii="Graphik Medium" w:hAnsi="Graphik Medium"/>
          <w:sz w:val="18"/>
          <w:szCs w:val="18"/>
          <w:rtl w:val="0"/>
          <w:lang w:val="en-US"/>
        </w:rPr>
        <w:t>: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The Question for us is: 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“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How are we to understand how everything fits together? What is God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’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s plan for the world, for mankind?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”</w:t>
      </w:r>
      <w:r>
        <w:rPr>
          <w:rFonts w:ascii="Graphik Medium" w:hAnsi="Graphik Medium"/>
          <w:sz w:val="18"/>
          <w:szCs w:val="18"/>
          <w:rtl w:val="0"/>
          <w:lang w:val="en-US"/>
        </w:rPr>
        <w:t xml:space="preserve">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" w:cs="Graphik" w:hAnsi="Graphik" w:eastAsia="Graphik"/>
          <w:b w:val="1"/>
          <w:bCs w:val="1"/>
          <w:sz w:val="18"/>
          <w:szCs w:val="18"/>
        </w:rPr>
      </w:pPr>
      <w:r>
        <w:rPr>
          <w:rFonts w:ascii="Graphik" w:hAnsi="Graphik"/>
          <w:b w:val="1"/>
          <w:bCs w:val="1"/>
          <w:sz w:val="18"/>
          <w:szCs w:val="18"/>
          <w:rtl w:val="0"/>
          <w:lang w:val="en-US"/>
        </w:rPr>
        <w:t xml:space="preserve">There are several things that we need to know, acknowledge, and accept to make sense of what the Bible says about what God is doing: </w:t>
      </w:r>
    </w:p>
    <w:p>
      <w:pPr>
        <w:pStyle w:val="Body"/>
        <w:jc w:val="both"/>
        <w:rPr>
          <w:rFonts w:ascii="Graphik" w:cs="Graphik" w:hAnsi="Graphik" w:eastAsia="Graphik"/>
          <w:b w:val="1"/>
          <w:bCs w:val="1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God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>’</w:t>
      </w:r>
      <w:r>
        <w:rPr>
          <w:rFonts w:ascii="Graphik Medium" w:hAnsi="Graphik Medium"/>
          <w:sz w:val="18"/>
          <w:szCs w:val="18"/>
          <w:rtl w:val="0"/>
          <w:lang w:val="en-US"/>
        </w:rPr>
        <w:t xml:space="preserve">s Plan is Knowable.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caps w:val="0"/>
          <w:smallCaps w:val="0"/>
          <w:sz w:val="18"/>
          <w:szCs w:val="18"/>
          <w:rtl w:val="0"/>
          <w:lang w:val="en-US"/>
        </w:rPr>
        <w:t xml:space="preserve">A consistent Method of Bible Interpretation </w:t>
      </w:r>
      <w:r>
        <w:rPr>
          <w:rFonts w:ascii="Graphik Medium" w:hAnsi="Graphik Medium" w:hint="default"/>
          <w:caps w:val="0"/>
          <w:smallCaps w:val="0"/>
          <w:sz w:val="18"/>
          <w:szCs w:val="18"/>
          <w:rtl w:val="0"/>
          <w:lang w:val="en-US"/>
        </w:rPr>
        <w:t xml:space="preserve">— </w:t>
      </w:r>
      <w:r>
        <w:rPr>
          <w:rFonts w:ascii="Graphik Medium" w:hAnsi="Graphik Medium"/>
          <w:caps w:val="0"/>
          <w:smallCaps w:val="0"/>
          <w:sz w:val="18"/>
          <w:szCs w:val="18"/>
          <w:rtl w:val="0"/>
          <w:lang w:val="en-US"/>
        </w:rPr>
        <w:t>The literal/plain/Normal interpretation of the Bible.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caps w:val="0"/>
          <w:smallCaps w:val="0"/>
          <w:sz w:val="18"/>
          <w:szCs w:val="18"/>
          <w:rtl w:val="0"/>
          <w:lang w:val="en-US"/>
        </w:rPr>
        <w:t>The Framework of the Bible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 — </w:t>
      </w:r>
      <w:r>
        <w:rPr>
          <w:rFonts w:ascii="Graphik Medium" w:hAnsi="Graphik Medium"/>
          <w:sz w:val="18"/>
          <w:szCs w:val="18"/>
          <w:rtl w:val="0"/>
          <w:lang w:val="en-US"/>
        </w:rPr>
        <w:t xml:space="preserve">The Biblical Covenants.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2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caps w:val="0"/>
          <w:smallCaps w:val="0"/>
          <w:sz w:val="18"/>
          <w:szCs w:val="18"/>
          <w:rtl w:val="0"/>
          <w:lang w:val="en-US"/>
        </w:rPr>
        <w:t>The Theme of the Bible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 — </w:t>
      </w:r>
      <w:r>
        <w:rPr>
          <w:rFonts w:ascii="Graphik Medium" w:hAnsi="Graphik Medium"/>
          <w:sz w:val="18"/>
          <w:szCs w:val="18"/>
          <w:rtl w:val="0"/>
          <w:lang w:val="en-US"/>
        </w:rPr>
        <w:t>The Kingdom of God.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4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Inadequate Themes</w:t>
      </w:r>
    </w:p>
    <w:p>
      <w:pPr>
        <w:pStyle w:val="Body"/>
        <w:numPr>
          <w:ilvl w:val="2"/>
          <w:numId w:val="4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Salvation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2"/>
          <w:numId w:val="4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Christ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2"/>
          <w:numId w:val="4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Glory of God (???)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4"/>
        </w:numPr>
        <w:jc w:val="both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The Theme that fits 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— </w:t>
      </w:r>
      <w:r>
        <w:rPr>
          <w:rFonts w:ascii="Graphik Medium" w:hAnsi="Graphik Medium"/>
          <w:sz w:val="18"/>
          <w:szCs w:val="18"/>
          <w:rtl w:val="0"/>
          <w:lang w:val="en-US"/>
        </w:rPr>
        <w:t xml:space="preserve">The Kingdom of God.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18"/>
          <w:szCs w:val="18"/>
        </w:rPr>
      </w:pPr>
      <w:r>
        <w:rPr>
          <w:rFonts w:ascii="Graphik Medium" w:hAnsi="Graphik Medium"/>
          <w:caps w:val="0"/>
          <w:smallCaps w:val="0"/>
          <w:sz w:val="18"/>
          <w:szCs w:val="18"/>
          <w:rtl w:val="0"/>
          <w:lang w:val="en-US"/>
        </w:rPr>
        <w:t xml:space="preserve">The Approach to this Study: </w:t>
      </w:r>
    </w:p>
    <w:p>
      <w:pPr>
        <w:pStyle w:val="Body"/>
        <w:numPr>
          <w:ilvl w:val="0"/>
          <w:numId w:val="6"/>
        </w:numPr>
        <w:jc w:val="both"/>
        <w:rPr>
          <w:rFonts w:ascii="Graphik" w:hAnsi="Graphik"/>
          <w:i w:val="1"/>
          <w:iCs w:val="1"/>
          <w:sz w:val="18"/>
          <w:szCs w:val="18"/>
          <w:lang w:val="en-US"/>
        </w:rPr>
      </w:pP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 xml:space="preserve">The literal interpretation of Scripture. </w:t>
      </w:r>
    </w:p>
    <w:p>
      <w:pPr>
        <w:pStyle w:val="Body"/>
        <w:numPr>
          <w:ilvl w:val="0"/>
          <w:numId w:val="6"/>
        </w:numPr>
        <w:jc w:val="both"/>
        <w:rPr>
          <w:rFonts w:ascii="Graphik" w:hAnsi="Graphik"/>
          <w:i w:val="1"/>
          <w:iCs w:val="1"/>
          <w:sz w:val="18"/>
          <w:szCs w:val="18"/>
          <w:lang w:val="en-US"/>
        </w:rPr>
      </w:pP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 xml:space="preserve">The biblical covenants. </w:t>
      </w:r>
    </w:p>
    <w:p>
      <w:pPr>
        <w:pStyle w:val="Body"/>
        <w:numPr>
          <w:ilvl w:val="0"/>
          <w:numId w:val="6"/>
        </w:numPr>
        <w:jc w:val="both"/>
        <w:rPr>
          <w:rFonts w:ascii="Graphik" w:hAnsi="Graphik"/>
          <w:i w:val="1"/>
          <w:iCs w:val="1"/>
          <w:sz w:val="18"/>
          <w:szCs w:val="18"/>
          <w:lang w:val="en-US"/>
        </w:rPr>
      </w:pP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 xml:space="preserve">The Kingdom of God. </w:t>
      </w:r>
    </w:p>
    <w:p>
      <w:pPr>
        <w:pStyle w:val="Body"/>
        <w:numPr>
          <w:ilvl w:val="0"/>
          <w:numId w:val="6"/>
        </w:numPr>
        <w:jc w:val="both"/>
        <w:rPr>
          <w:rFonts w:ascii="Graphik" w:hAnsi="Graphik"/>
          <w:i w:val="1"/>
          <w:iCs w:val="1"/>
          <w:sz w:val="18"/>
          <w:szCs w:val="18"/>
          <w:lang w:val="en-US"/>
        </w:rPr>
      </w:pP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 xml:space="preserve">The different approaches to understanding the end times.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Some Qualifications</w:t>
      </w:r>
    </w:p>
    <w:p>
      <w:pPr>
        <w:pStyle w:val="Body"/>
        <w:numPr>
          <w:ilvl w:val="0"/>
          <w:numId w:val="7"/>
        </w:numPr>
        <w:jc w:val="both"/>
        <w:rPr>
          <w:rFonts w:ascii="Graphik" w:hAnsi="Graphik"/>
          <w:i w:val="1"/>
          <w:iCs w:val="1"/>
          <w:sz w:val="18"/>
          <w:szCs w:val="18"/>
          <w:lang w:val="en-US"/>
        </w:rPr>
      </w:pP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A humble teachable spirit (some things are more certain than others).</w:t>
      </w:r>
    </w:p>
    <w:p>
      <w:pPr>
        <w:pStyle w:val="Body"/>
        <w:jc w:val="both"/>
        <w:rPr>
          <w:rFonts w:ascii="Graphik" w:cs="Graphik" w:hAnsi="Graphik" w:eastAsia="Graphik"/>
          <w:i w:val="1"/>
          <w:iCs w:val="1"/>
          <w:sz w:val="18"/>
          <w:szCs w:val="18"/>
        </w:rPr>
      </w:pPr>
    </w:p>
    <w:p>
      <w:pPr>
        <w:pStyle w:val="Body"/>
        <w:numPr>
          <w:ilvl w:val="0"/>
          <w:numId w:val="7"/>
        </w:numPr>
        <w:jc w:val="both"/>
        <w:rPr>
          <w:rFonts w:ascii="Graphik" w:hAnsi="Graphik"/>
          <w:i w:val="1"/>
          <w:iCs w:val="1"/>
          <w:sz w:val="18"/>
          <w:szCs w:val="18"/>
          <w:lang w:val="en-US"/>
        </w:rPr>
      </w:pP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Begin with induction and move to deduction: induction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—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&gt;deduction; exegesis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—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&gt;synthesis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—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&gt;conclusion; Bible Study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—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&gt;Biblical Theology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—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 xml:space="preserve">&gt;Systematic Theology. </w:t>
      </w:r>
    </w:p>
    <w:p>
      <w:pPr>
        <w:pStyle w:val="Body"/>
        <w:jc w:val="both"/>
        <w:rPr>
          <w:rFonts w:ascii="Graphik" w:cs="Graphik" w:hAnsi="Graphik" w:eastAsia="Graphik"/>
          <w:i w:val="1"/>
          <w:iCs w:val="1"/>
          <w:sz w:val="18"/>
          <w:szCs w:val="18"/>
        </w:rPr>
      </w:pPr>
    </w:p>
    <w:p>
      <w:pPr>
        <w:pStyle w:val="Body"/>
        <w:numPr>
          <w:ilvl w:val="0"/>
          <w:numId w:val="7"/>
        </w:numPr>
        <w:jc w:val="both"/>
        <w:rPr>
          <w:rFonts w:ascii="Graphik" w:hAnsi="Graphik"/>
          <w:i w:val="1"/>
          <w:iCs w:val="1"/>
          <w:sz w:val="18"/>
          <w:szCs w:val="18"/>
          <w:lang w:val="en-US"/>
        </w:rPr>
      </w:pP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 xml:space="preserve">The question is: 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>“</w:t>
      </w:r>
      <w:r>
        <w:rPr>
          <w:rFonts w:ascii="Graphik" w:hAnsi="Graphik"/>
          <w:i w:val="1"/>
          <w:iCs w:val="1"/>
          <w:sz w:val="18"/>
          <w:szCs w:val="18"/>
          <w:rtl w:val="0"/>
          <w:lang w:val="en-US"/>
        </w:rPr>
        <w:t>What form of doctrine (Amillennial, Postmillennial, Premillennial, Covenant Theology, dispensationalism, etc) deals most consistently with the Biblical data?</w:t>
      </w:r>
      <w:r>
        <w:rPr>
          <w:rFonts w:ascii="Graphik" w:hAnsi="Graphik" w:hint="default"/>
          <w:i w:val="1"/>
          <w:iCs w:val="1"/>
          <w:sz w:val="18"/>
          <w:szCs w:val="18"/>
          <w:rtl w:val="0"/>
          <w:lang w:val="en-US"/>
        </w:rPr>
        <w:t xml:space="preserve">” </w:t>
      </w: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Vocabulary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Millennium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 xml:space="preserve">The 1,000-year reign of Jesus Christ on the earth. 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The Kingdom of Jesus Christ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>The reign of Christ, whether on the earth physically, or in heaven spiritually.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The Kingdom of God (the Father)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>Two aspects: Universal and Temporal/Meditorial. The Universal Kingdom of God refers to God</w:t>
      </w:r>
      <w:r>
        <w:rPr>
          <w:rFonts w:ascii="Graphik" w:hAnsi="Graphik" w:hint="default"/>
          <w:i w:val="0"/>
          <w:iCs w:val="0"/>
          <w:sz w:val="18"/>
          <w:szCs w:val="18"/>
          <w:rtl w:val="0"/>
          <w:lang w:val="en-US"/>
        </w:rPr>
        <w:t>’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 xml:space="preserve">s ultimate position as the creator and authority over everything </w:t>
      </w:r>
      <w:r>
        <w:rPr>
          <w:rFonts w:ascii="Graphik" w:hAnsi="Graphik" w:hint="default"/>
          <w:i w:val="0"/>
          <w:iCs w:val="0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>Everything by definition falls into God</w:t>
      </w:r>
      <w:r>
        <w:rPr>
          <w:rFonts w:ascii="Graphik" w:hAnsi="Graphik" w:hint="default"/>
          <w:i w:val="0"/>
          <w:iCs w:val="0"/>
          <w:sz w:val="18"/>
          <w:szCs w:val="18"/>
          <w:rtl w:val="0"/>
          <w:lang w:val="en-US"/>
        </w:rPr>
        <w:t>’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>s kingdom. The Temporal/Meditorial Kingdom deals specifically with God</w:t>
      </w:r>
      <w:r>
        <w:rPr>
          <w:rFonts w:ascii="Graphik" w:hAnsi="Graphik" w:hint="default"/>
          <w:i w:val="0"/>
          <w:iCs w:val="0"/>
          <w:sz w:val="18"/>
          <w:szCs w:val="18"/>
          <w:rtl w:val="0"/>
          <w:lang w:val="en-US"/>
        </w:rPr>
        <w:t>’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 xml:space="preserve">s rule on the earth and how he works this out. 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Rapture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 xml:space="preserve">The snatching away of the church from the earth. 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2nd Coming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>When the Lord Jesus Christ comes back to the earth physically and literally.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>The Tribulation / Great Tribulation / Daniel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>’</w:t>
      </w: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>s 70th Week / the Time of Jacob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>’</w:t>
      </w: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s Trouble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 xml:space="preserve">The 7-year period of unprecedented death and decimation on the earth. 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Literal Interpretation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 xml:space="preserve">Interpreting the entire Bible in a normal way used upon the words and composition of the text of Scripture giving to them the meaning and significance they would have had in their original context. </w:t>
      </w:r>
    </w:p>
    <w:p>
      <w:pPr>
        <w:pStyle w:val="Body"/>
        <w:numPr>
          <w:ilvl w:val="0"/>
          <w:numId w:val="8"/>
        </w:numPr>
        <w:spacing w:after="60"/>
        <w:jc w:val="both"/>
        <w:rPr>
          <w:rFonts w:ascii="Graphik Medium" w:hAnsi="Graphik Medium"/>
          <w:i w:val="1"/>
          <w:iCs w:val="1"/>
          <w:sz w:val="18"/>
          <w:szCs w:val="18"/>
          <w:lang w:val="en-US"/>
        </w:rPr>
      </w:pPr>
      <w:r>
        <w:rPr>
          <w:rFonts w:ascii="Graphik Medium" w:hAnsi="Graphik Medium"/>
          <w:i w:val="1"/>
          <w:iCs w:val="1"/>
          <w:sz w:val="18"/>
          <w:szCs w:val="18"/>
          <w:rtl w:val="0"/>
          <w:lang w:val="en-US"/>
        </w:rPr>
        <w:t xml:space="preserve">Allegorical or Spiritual Interpretation </w:t>
      </w:r>
      <w:r>
        <w:rPr>
          <w:rFonts w:ascii="Graphik Medium" w:hAnsi="Graphik Medium" w:hint="default"/>
          <w:i w:val="1"/>
          <w:iCs w:val="1"/>
          <w:sz w:val="18"/>
          <w:szCs w:val="18"/>
          <w:rtl w:val="0"/>
          <w:lang w:val="en-US"/>
        </w:rPr>
        <w:t xml:space="preserve">— </w:t>
      </w:r>
      <w:r>
        <w:rPr>
          <w:rFonts w:ascii="Graphik" w:hAnsi="Graphik"/>
          <w:i w:val="0"/>
          <w:iCs w:val="0"/>
          <w:sz w:val="18"/>
          <w:szCs w:val="18"/>
          <w:rtl w:val="0"/>
          <w:lang w:val="en-US"/>
        </w:rPr>
        <w:t xml:space="preserve">Interpreting the Bible in a way that goes beyond the normal and plain meaning of the words; this method is rejected.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44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 Medium" w:cs="Graphik Medium" w:hAnsi="Graphik Medium" w:eastAsia="Graphik Medium"/>
        <w:sz w:val="16"/>
        <w:szCs w:val="16"/>
      </w:rPr>
      <w:tab/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PAGE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" w:hAnsi="Graphik"/>
        <w:sz w:val="16"/>
        <w:szCs w:val="16"/>
        <w:rtl w:val="0"/>
        <w:lang w:val="en-US"/>
      </w:rPr>
      <w:t>God</w:t>
    </w:r>
    <w:r>
      <w:rPr>
        <w:rFonts w:ascii="Graphik" w:hAnsi="Graphik" w:hint="default"/>
        <w:sz w:val="16"/>
        <w:szCs w:val="16"/>
        <w:rtl w:val="0"/>
        <w:lang w:val="en-US"/>
      </w:rPr>
      <w:t>’</w:t>
    </w:r>
    <w:r>
      <w:rPr>
        <w:rFonts w:ascii="Graphik" w:hAnsi="Graphik"/>
        <w:sz w:val="16"/>
        <w:szCs w:val="16"/>
        <w:rtl w:val="0"/>
        <w:lang w:val="en-US"/>
      </w:rPr>
      <w:t>s Plan for History</w:t>
    </w:r>
    <w:r>
      <w:rPr>
        <w:rFonts w:ascii="Graphik" w:cs="Graphik" w:hAnsi="Graphik" w:eastAsia="Graphik"/>
        <w:sz w:val="16"/>
        <w:szCs w:val="16"/>
      </w:rPr>
      <w:tab/>
      <w:tab/>
    </w:r>
    <w:r>
      <w:rPr>
        <w:rFonts w:ascii="Graphik" w:hAnsi="Graphik"/>
        <w:sz w:val="16"/>
        <w:szCs w:val="16"/>
        <w:rtl w:val="0"/>
        <w:lang w:val="en-US"/>
      </w:rPr>
      <w:t>Introduction, Les. 1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"/>
  </w:abstractNum>
  <w:abstractNum w:abstractNumId="5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2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0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8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6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4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2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0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587" w:hanging="14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27" w:hanging="327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5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7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3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09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5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1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17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5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7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3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09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5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1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175" w:hanging="295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Lettered">
    <w:name w:val="Lettered"/>
    <w:pPr>
      <w:numPr>
        <w:numId w:val="3"/>
      </w:numPr>
    </w:pPr>
  </w:style>
  <w:style w:type="numbering" w:styleId="Bullet">
    <w:name w:val="Bullet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