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Palatino" w:cs="Palatino" w:hAnsi="Palatino" w:eastAsia="Palatino"/>
          <w:b w:val="1"/>
          <w:bCs w:val="1"/>
          <w:caps w:val="1"/>
          <w:u w:val="single"/>
        </w:rPr>
      </w:pPr>
      <w:r>
        <w:rPr>
          <w:rFonts w:ascii="Palatino" w:hAnsi="Palatino"/>
          <w:b w:val="1"/>
          <w:bCs w:val="1"/>
          <w:caps w:val="1"/>
          <w:u w:val="single"/>
          <w:rtl w:val="0"/>
          <w:lang w:val="en-US"/>
        </w:rPr>
        <w:t xml:space="preserve">7 </w:t>
      </w:r>
      <w:r>
        <w:rPr>
          <w:rFonts w:ascii="Palatino" w:hAnsi="Palatino" w:hint="default"/>
          <w:b w:val="1"/>
          <w:bCs w:val="1"/>
          <w:caps w:val="1"/>
          <w:u w:val="single"/>
          <w:rtl w:val="0"/>
          <w:lang w:val="en-US"/>
        </w:rPr>
        <w:t xml:space="preserve">— </w:t>
      </w:r>
      <w:r>
        <w:rPr>
          <w:rFonts w:ascii="Palatino" w:hAnsi="Palatino"/>
          <w:b w:val="1"/>
          <w:bCs w:val="1"/>
          <w:caps w:val="1"/>
          <w:u w:val="single"/>
          <w:rtl w:val="0"/>
          <w:lang w:val="en-US"/>
        </w:rPr>
        <w:t>The Davidic Covenant</w:t>
      </w:r>
    </w:p>
    <w:p>
      <w:pPr>
        <w:pStyle w:val="Body"/>
        <w:spacing w:after="180" w:line="264" w:lineRule="auto"/>
        <w:jc w:val="center"/>
        <w:rPr>
          <w:rFonts w:ascii="Palatino" w:cs="Palatino" w:hAnsi="Palatino" w:eastAsia="Palatino"/>
          <w:b w:val="1"/>
          <w:bCs w:val="1"/>
          <w:smallCaps w:val="1"/>
        </w:rPr>
      </w:pPr>
      <w:r>
        <w:rPr>
          <w:rFonts w:ascii="Palatino" w:hAnsi="Palatino"/>
          <w:b w:val="1"/>
          <w:bCs w:val="1"/>
          <w:smallCaps w:val="1"/>
          <w:rtl w:val="0"/>
          <w:lang w:val="en-US"/>
        </w:rPr>
        <w:t>God</w:t>
      </w:r>
      <w:r>
        <w:rPr>
          <w:rFonts w:ascii="Palatino" w:hAnsi="Palatino" w:hint="default"/>
          <w:b w:val="1"/>
          <w:bCs w:val="1"/>
          <w:smallCaps w:val="1"/>
          <w:rtl w:val="0"/>
          <w:lang w:val="en-US"/>
        </w:rPr>
        <w:t>’</w:t>
      </w:r>
      <w:r>
        <w:rPr>
          <w:rFonts w:ascii="Palatino" w:hAnsi="Palatino"/>
          <w:b w:val="1"/>
          <w:bCs w:val="1"/>
          <w:smallCaps w:val="1"/>
          <w:rtl w:val="0"/>
          <w:lang w:val="en-US"/>
        </w:rPr>
        <w:t>s Plan for History</w:t>
      </w:r>
    </w:p>
    <w:p>
      <w:pPr>
        <w:pStyle w:val="Title"/>
        <w:numPr>
          <w:ilvl w:val="0"/>
          <w:numId w:val="2"/>
        </w:numPr>
        <w:bidi w:val="0"/>
      </w:pPr>
      <w:r>
        <w:rPr>
          <w:rtl w:val="0"/>
        </w:rPr>
        <w:t xml:space="preserve">THE IMPORTANCE OF THE COVENANT. 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</w:rPr>
      </w:pPr>
    </w:p>
    <w:p>
      <w:pPr>
        <w:pStyle w:val="Title"/>
        <w:numPr>
          <w:ilvl w:val="0"/>
          <w:numId w:val="2"/>
        </w:numPr>
        <w:bidi w:val="0"/>
      </w:pPr>
      <w:r>
        <w:rPr>
          <w:rtl w:val="0"/>
        </w:rPr>
        <w:t>THE KEY PASSAGES.</w:t>
      </w:r>
    </w:p>
    <w:p>
      <w:pPr>
        <w:pStyle w:val="Body"/>
        <w:numPr>
          <w:ilvl w:val="1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2 Samuel 7:4-17</w:t>
      </w:r>
    </w:p>
    <w:p>
      <w:pPr>
        <w:pStyle w:val="Body"/>
        <w:numPr>
          <w:ilvl w:val="1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Ps 89:3-4, 25-37</w:t>
      </w:r>
    </w:p>
    <w:p>
      <w:pPr>
        <w:pStyle w:val="Default"/>
        <w:bidi w:val="0"/>
        <w:spacing w:before="0" w:after="180" w:line="264" w:lineRule="auto"/>
        <w:ind w:left="720" w:right="0" w:firstLine="0"/>
        <w:jc w:val="both"/>
        <w:rPr>
          <w:rFonts w:ascii="Palatino" w:cs="Palatino" w:hAnsi="Palatino" w:eastAsia="Palatino"/>
          <w:sz w:val="22"/>
          <w:szCs w:val="22"/>
          <w:rtl w:val="0"/>
        </w:rPr>
      </w:pPr>
    </w:p>
    <w:p>
      <w:pPr>
        <w:pStyle w:val="Title"/>
        <w:numPr>
          <w:ilvl w:val="0"/>
          <w:numId w:val="2"/>
        </w:numPr>
        <w:bidi w:val="0"/>
      </w:pPr>
      <w:r>
        <w:rPr>
          <w:rtl w:val="0"/>
        </w:rPr>
        <w:t xml:space="preserve">THE BACKGROUND TO THE COVENANT. 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It is connected to the Abrahamic Covenant. (Gen 12:1-3)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</w:rPr>
      </w:pP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It is connected to the Reiteration of the Abrahamic Covenant in Gen 17. (Gen 17:6)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</w:rPr>
      </w:pP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It is connected to Judah, the son of Jacob</w:t>
      </w:r>
      <w:r>
        <w:rPr>
          <w:rFonts w:ascii="Palatino" w:hAnsi="Palatino"/>
          <w:b w:val="1"/>
          <w:bCs w:val="1"/>
          <w:rtl w:val="0"/>
          <w:lang w:val="en-US"/>
        </w:rPr>
        <w:t>. (Gen 49:8-12 [esp. v. 10])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sz w:val="20"/>
          <w:szCs w:val="20"/>
          <w:lang w:val="en-US"/>
        </w:rPr>
      </w:pP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Gen 49:10 Explained 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sz w:val="20"/>
          <w:szCs w:val="20"/>
          <w:lang w:val="en-US"/>
        </w:rPr>
      </w:pP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>David was from Bethlehem of Judah. 1Sam 17:12; Ruth 4:17-22; Gen 46:12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</w:rPr>
      </w:pPr>
    </w:p>
    <w:p>
      <w:pPr>
        <w:pStyle w:val="Title"/>
        <w:numPr>
          <w:ilvl w:val="0"/>
          <w:numId w:val="2"/>
        </w:numPr>
        <w:bidi w:val="0"/>
      </w:pPr>
      <w:r>
        <w:rPr>
          <w:rtl w:val="0"/>
        </w:rPr>
        <w:t xml:space="preserve">THE PARTIES OF THE COVENANT. </w:t>
      </w:r>
    </w:p>
    <w:p>
      <w:pPr>
        <w:pStyle w:val="Body"/>
        <w:numPr>
          <w:ilvl w:val="1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The LORD God.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sz w:val="20"/>
          <w:szCs w:val="20"/>
          <w:lang w:val="en-US"/>
        </w:rPr>
      </w:pP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2 Sam 7 </w:t>
      </w:r>
      <w:r>
        <w:rPr>
          <w:rFonts w:ascii="Palatino" w:hAnsi="Palatino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34 direct references to the LORD </w:t>
      </w:r>
      <w:r>
        <w:rPr>
          <w:rFonts w:ascii="Palatino" w:hAnsi="Palatino"/>
          <w:b w:val="0"/>
          <w:bCs w:val="0"/>
          <w:sz w:val="20"/>
          <w:szCs w:val="20"/>
          <w:rtl w:val="0"/>
          <w:lang w:val="en-US"/>
        </w:rPr>
        <w:t>(vv. 4, 5, 6, 7, 8, 9, 10, 11, 12, 13, 14, 15).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numPr>
          <w:ilvl w:val="2"/>
          <w:numId w:val="3"/>
        </w:numPr>
        <w:spacing w:after="200" w:line="264" w:lineRule="auto"/>
        <w:jc w:val="both"/>
        <w:rPr>
          <w:rFonts w:ascii="Palatino" w:hAnsi="Palatino"/>
          <w:b w:val="1"/>
          <w:bCs w:val="1"/>
          <w:sz w:val="20"/>
          <w:szCs w:val="20"/>
          <w:lang w:val="en-US"/>
        </w:rPr>
      </w:pP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Ps 89:3-4, 25-37 </w:t>
      </w:r>
      <w:r>
        <w:rPr>
          <w:rFonts w:ascii="Palatino" w:hAnsi="Palatino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30 direct references to the LORD </w:t>
      </w:r>
      <w:r>
        <w:rPr>
          <w:rFonts w:ascii="Palatino" w:hAnsi="Palatino"/>
          <w:b w:val="0"/>
          <w:bCs w:val="0"/>
          <w:sz w:val="20"/>
          <w:szCs w:val="20"/>
          <w:rtl w:val="0"/>
          <w:lang w:val="en-US"/>
        </w:rPr>
        <w:t xml:space="preserve">(vv. 3, 4, </w:t>
      </w:r>
      <w:r>
        <w:rPr>
          <w:rFonts w:ascii="Palatino" w:hAnsi="Palatino" w:hint="default"/>
          <w:b w:val="0"/>
          <w:bCs w:val="0"/>
          <w:sz w:val="20"/>
          <w:szCs w:val="20"/>
          <w:rtl w:val="0"/>
          <w:lang w:val="en-US"/>
        </w:rPr>
        <w:t xml:space="preserve">… </w:t>
      </w:r>
      <w:r>
        <w:rPr>
          <w:rFonts w:ascii="Palatino" w:hAnsi="Palatino"/>
          <w:b w:val="0"/>
          <w:bCs w:val="0"/>
          <w:sz w:val="20"/>
          <w:szCs w:val="20"/>
          <w:rtl w:val="0"/>
          <w:lang w:val="en-US"/>
        </w:rPr>
        <w:t>25, 26, 27, 28, 29, 30, 31, 32, 33, 34, 35, 36).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0"/>
          <w:bC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King David. 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sz w:val="20"/>
          <w:szCs w:val="20"/>
          <w:lang w:val="en-US"/>
        </w:rPr>
      </w:pP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2 Sam 7 </w:t>
      </w:r>
      <w:r>
        <w:rPr>
          <w:rFonts w:ascii="Palatino" w:hAnsi="Palatino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23 references to David </w:t>
      </w:r>
      <w:r>
        <w:rPr>
          <w:rFonts w:ascii="Palatino" w:hAnsi="Palatino"/>
          <w:b w:val="0"/>
          <w:bCs w:val="0"/>
          <w:sz w:val="20"/>
          <w:szCs w:val="20"/>
          <w:rtl w:val="0"/>
          <w:lang w:val="en-US"/>
        </w:rPr>
        <w:t>(vv. 5, 8, 9, 11, 12, 15, 16, 17)</w:t>
      </w: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>.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sz w:val="20"/>
          <w:szCs w:val="20"/>
          <w:lang w:val="en-US"/>
        </w:rPr>
      </w:pP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Ps 89 </w:t>
      </w:r>
      <w:r>
        <w:rPr>
          <w:rFonts w:ascii="Palatino" w:hAnsi="Palatino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Palatino" w:hAnsi="Palatino"/>
          <w:b w:val="1"/>
          <w:bCs w:val="1"/>
          <w:sz w:val="20"/>
          <w:szCs w:val="20"/>
          <w:rtl w:val="0"/>
          <w:lang w:val="en-US"/>
        </w:rPr>
        <w:t xml:space="preserve">at least 29 references to David </w:t>
      </w:r>
      <w:r>
        <w:rPr>
          <w:rFonts w:ascii="Palatino" w:hAnsi="Palatino"/>
          <w:b w:val="0"/>
          <w:bCs w:val="0"/>
          <w:sz w:val="20"/>
          <w:szCs w:val="20"/>
          <w:rtl w:val="0"/>
          <w:lang w:val="en-US"/>
        </w:rPr>
        <w:t xml:space="preserve">(vv. 3, 4, 20, 21, 22, 23, 24, 25, 26, 27, 28, 29, 30, 35, 36). 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Title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 xml:space="preserve">THE NATURE OF THE COVENANT. 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It is an eternal covenant. </w:t>
      </w:r>
      <w:r>
        <w:rPr>
          <w:rFonts w:ascii="Palatino" w:hAnsi="Palatino"/>
          <w:b w:val="0"/>
          <w:bCs w:val="0"/>
          <w:caps w:val="0"/>
          <w:smallCaps w:val="0"/>
          <w:rtl w:val="0"/>
          <w:lang w:val="en-US"/>
        </w:rPr>
        <w:t>(2Sam 7:10, 13, 15, 16; Ps 89:3, 4, 28, 29, 33, 34, 35, 36, 37)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0"/>
          <w:bCs w:val="0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0"/>
          <w:bC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It is an unconditional covenant. </w:t>
      </w:r>
      <w:r>
        <w:rPr>
          <w:rFonts w:ascii="Palatino" w:hAnsi="Palatino"/>
          <w:b w:val="0"/>
          <w:bCs w:val="0"/>
          <w:caps w:val="0"/>
          <w:smallCaps w:val="0"/>
          <w:rtl w:val="0"/>
          <w:lang w:val="en-US"/>
        </w:rPr>
        <w:t>(2Sam 7:12-14; Ps 89:3, 4, 20, 23, 25, 27, 28, 29, 32, 33, 34, 35)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0"/>
          <w:bCs w:val="0"/>
          <w:caps w:val="0"/>
          <w:smallCaps w:val="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0"/>
          <w:bCs w:val="0"/>
          <w:caps w:val="0"/>
          <w:smallCaps w:val="0"/>
        </w:rPr>
      </w:pPr>
    </w:p>
    <w:p>
      <w:pPr>
        <w:pStyle w:val="Title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 xml:space="preserve">THE PROVISIONS OF THE COVENANT. </w:t>
      </w:r>
    </w:p>
    <w:p>
      <w:pPr>
        <w:pStyle w:val="Body"/>
        <w:spacing w:after="200" w:line="264" w:lineRule="auto"/>
        <w:ind w:left="360" w:firstLine="0"/>
        <w:jc w:val="both"/>
        <w:rPr>
          <w:rFonts w:ascii="Palatino" w:cs="Palatino" w:hAnsi="Palatino" w:eastAsia="Palatino"/>
          <w:sz w:val="18"/>
          <w:szCs w:val="18"/>
        </w:rPr>
      </w:pPr>
      <w:r>
        <w:rPr>
          <w:rFonts w:ascii="Palatino" w:hAnsi="Palatino"/>
          <w:sz w:val="18"/>
          <w:szCs w:val="18"/>
          <w:rtl w:val="0"/>
          <w:lang w:val="en-US"/>
        </w:rPr>
        <w:t>(According to Paul N. Benware</w:t>
      </w:r>
      <w:r>
        <w:rPr>
          <w:rFonts w:ascii="Palatino" w:hAnsi="Palatino" w:hint="default"/>
          <w:sz w:val="18"/>
          <w:szCs w:val="18"/>
          <w:rtl w:val="0"/>
          <w:lang w:val="en-US"/>
        </w:rPr>
        <w:t>’</w:t>
      </w:r>
      <w:r>
        <w:rPr>
          <w:rFonts w:ascii="Palatino" w:hAnsi="Palatino"/>
          <w:sz w:val="18"/>
          <w:szCs w:val="18"/>
          <w:rtl w:val="0"/>
          <w:lang w:val="en-US"/>
        </w:rPr>
        <w:t xml:space="preserve">s book </w:t>
      </w:r>
      <w:r>
        <w:rPr>
          <w:rFonts w:ascii="Palatino" w:hAnsi="Palatino"/>
          <w:b w:val="1"/>
          <w:bCs w:val="1"/>
          <w:sz w:val="18"/>
          <w:szCs w:val="18"/>
          <w:rtl w:val="0"/>
          <w:lang w:val="en-US"/>
        </w:rPr>
        <w:t>Understanding End Times Prophecy, Revised and Expanded</w:t>
      </w:r>
      <w:r>
        <w:rPr>
          <w:rFonts w:ascii="Palatino" w:hAnsi="Palatino"/>
          <w:sz w:val="18"/>
          <w:szCs w:val="18"/>
          <w:rtl w:val="0"/>
          <w:lang w:val="en-US"/>
        </w:rPr>
        <w:t xml:space="preserve"> ed.)</w:t>
      </w: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lang w:val="en-US"/>
        </w:rPr>
      </w:pPr>
      <w:r>
        <w:rPr>
          <w:rFonts w:ascii="Palatino" w:hAnsi="Palatino"/>
          <w:rtl w:val="0"/>
          <w:lang w:val="en-US"/>
        </w:rPr>
        <w:t>David</w:t>
      </w:r>
      <w:r>
        <w:rPr>
          <w:rFonts w:ascii="Palatino" w:hAnsi="Palatino" w:hint="default"/>
          <w:rtl w:val="0"/>
          <w:lang w:val="en-US"/>
        </w:rPr>
        <w:t>’</w:t>
      </w:r>
      <w:r>
        <w:rPr>
          <w:rFonts w:ascii="Palatino" w:hAnsi="Palatino"/>
          <w:rtl w:val="0"/>
          <w:lang w:val="en-US"/>
        </w:rPr>
        <w:t>s name would be great. (2Sam 7:9)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lang w:val="en-US"/>
        </w:rPr>
      </w:pPr>
      <w:r>
        <w:rPr>
          <w:rFonts w:ascii="Palatino" w:hAnsi="Palatino"/>
          <w:rtl w:val="0"/>
          <w:lang w:val="en-US"/>
        </w:rPr>
        <w:t>David would have peace. (2Sam 7:11)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lang w:val="en-US"/>
        </w:rPr>
      </w:pPr>
      <w:r>
        <w:rPr>
          <w:rFonts w:ascii="Palatino" w:hAnsi="Palatino"/>
          <w:rtl w:val="0"/>
          <w:lang w:val="en-US"/>
        </w:rPr>
        <w:t xml:space="preserve">David would have a house that will last forever.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lang w:val="en-US"/>
        </w:rPr>
      </w:pPr>
      <w:r>
        <w:rPr>
          <w:rFonts w:ascii="Palatino" w:hAnsi="Palatino"/>
          <w:rtl w:val="0"/>
          <w:lang w:val="en-US"/>
        </w:rPr>
        <w:t>David</w:t>
      </w:r>
      <w:r>
        <w:rPr>
          <w:rFonts w:ascii="Palatino" w:hAnsi="Palatino" w:hint="default"/>
          <w:rtl w:val="0"/>
          <w:lang w:val="en-US"/>
        </w:rPr>
        <w:t>’</w:t>
      </w:r>
      <w:r>
        <w:rPr>
          <w:rFonts w:ascii="Palatino" w:hAnsi="Palatino"/>
          <w:rtl w:val="0"/>
          <w:lang w:val="en-US"/>
        </w:rPr>
        <w:t xml:space="preserve">s throne would be established forever.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lang w:val="en-US"/>
        </w:rPr>
      </w:pPr>
      <w:r>
        <w:rPr>
          <w:rFonts w:ascii="Palatino" w:hAnsi="Palatino"/>
          <w:rtl w:val="0"/>
          <w:lang w:val="en-US"/>
        </w:rPr>
        <w:t>David</w:t>
      </w:r>
      <w:r>
        <w:rPr>
          <w:rFonts w:ascii="Palatino" w:hAnsi="Palatino" w:hint="default"/>
          <w:rtl w:val="0"/>
          <w:lang w:val="en-US"/>
        </w:rPr>
        <w:t>’</w:t>
      </w:r>
      <w:r>
        <w:rPr>
          <w:rFonts w:ascii="Palatino" w:hAnsi="Palatino"/>
          <w:rtl w:val="0"/>
          <w:lang w:val="en-US"/>
        </w:rPr>
        <w:t xml:space="preserve">s kingdom would never permanently pass away. 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</w:rPr>
      </w:pPr>
    </w:p>
    <w:p>
      <w:pPr>
        <w:pStyle w:val="Title"/>
        <w:numPr>
          <w:ilvl w:val="0"/>
          <w:numId w:val="2"/>
        </w:numPr>
        <w:bidi w:val="0"/>
      </w:pPr>
      <w:r>
        <w:rPr>
          <w:rtl w:val="0"/>
        </w:rPr>
        <w:t xml:space="preserve">THE KEY TERMS OF THE COVENANT. 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 w:hint="default"/>
          <w:b w:val="1"/>
          <w:bCs w:val="1"/>
          <w:lang w:val="en-US"/>
        </w:rPr>
      </w:pPr>
      <w:r>
        <w:rPr>
          <w:rFonts w:ascii="Palatino" w:hAnsi="Palatino" w:hint="default"/>
          <w:b w:val="1"/>
          <w:bCs w:val="1"/>
          <w:rtl w:val="0"/>
          <w:lang w:val="en-US"/>
        </w:rPr>
        <w:t>“</w:t>
      </w:r>
      <w:r>
        <w:rPr>
          <w:rFonts w:ascii="Palatino" w:hAnsi="Palatino"/>
          <w:b w:val="1"/>
          <w:bCs w:val="1"/>
          <w:rtl w:val="0"/>
          <w:lang w:val="en-US"/>
        </w:rPr>
        <w:t>House</w:t>
      </w:r>
      <w:r>
        <w:rPr>
          <w:rFonts w:ascii="Palatino" w:hAnsi="Palatino" w:hint="default"/>
          <w:b w:val="1"/>
          <w:bCs w:val="1"/>
          <w:rtl w:val="0"/>
          <w:lang w:val="en-US"/>
        </w:rPr>
        <w:t>”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</w:rPr>
      </w:pP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 w:hint="default"/>
          <w:b w:val="1"/>
          <w:bCs w:val="1"/>
          <w:lang w:val="en-US"/>
        </w:rPr>
      </w:pPr>
      <w:r>
        <w:rPr>
          <w:rFonts w:ascii="Palatino" w:hAnsi="Palatino" w:hint="default"/>
          <w:b w:val="1"/>
          <w:bCs w:val="1"/>
          <w:rtl w:val="0"/>
          <w:lang w:val="en-US"/>
        </w:rPr>
        <w:t>“</w:t>
      </w:r>
      <w:r>
        <w:rPr>
          <w:rFonts w:ascii="Palatino" w:hAnsi="Palatino"/>
          <w:b w:val="1"/>
          <w:bCs w:val="1"/>
          <w:rtl w:val="0"/>
          <w:lang w:val="en-US"/>
        </w:rPr>
        <w:t>Throne</w:t>
      </w:r>
      <w:r>
        <w:rPr>
          <w:rFonts w:ascii="Palatino" w:hAnsi="Palatino" w:hint="default"/>
          <w:b w:val="1"/>
          <w:bCs w:val="1"/>
          <w:rtl w:val="0"/>
          <w:lang w:val="en-US"/>
        </w:rPr>
        <w:t>”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</w:rPr>
      </w:pP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 w:hint="default"/>
          <w:b w:val="1"/>
          <w:bCs w:val="1"/>
          <w:lang w:val="en-US"/>
        </w:rPr>
      </w:pPr>
      <w:r>
        <w:rPr>
          <w:rFonts w:ascii="Palatino" w:hAnsi="Palatino" w:hint="default"/>
          <w:b w:val="1"/>
          <w:bCs w:val="1"/>
          <w:rtl w:val="0"/>
          <w:lang w:val="en-US"/>
        </w:rPr>
        <w:t>“</w:t>
      </w:r>
      <w:r>
        <w:rPr>
          <w:rFonts w:ascii="Palatino" w:hAnsi="Palatino"/>
          <w:b w:val="1"/>
          <w:bCs w:val="1"/>
          <w:rtl w:val="0"/>
          <w:lang w:val="en-US"/>
        </w:rPr>
        <w:t>Kingdom</w:t>
      </w:r>
      <w:r>
        <w:rPr>
          <w:rFonts w:ascii="Palatino" w:hAnsi="Palatino" w:hint="default"/>
          <w:b w:val="1"/>
          <w:bCs w:val="1"/>
          <w:rtl w:val="0"/>
          <w:lang w:val="en-US"/>
        </w:rPr>
        <w:t>”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</w:rPr>
      </w:pPr>
    </w:p>
    <w:p>
      <w:pPr>
        <w:pStyle w:val="Title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le"/>
        <w:numPr>
          <w:ilvl w:val="0"/>
          <w:numId w:val="2"/>
        </w:numPr>
        <w:bidi w:val="0"/>
      </w:pPr>
      <w:r>
        <w:rPr>
          <w:rtl w:val="0"/>
        </w:rPr>
        <w:t xml:space="preserve">THE EXPOSITION OF THE PASSAGES. </w:t>
      </w:r>
    </w:p>
    <w:p>
      <w:pPr>
        <w:pStyle w:val="Body"/>
        <w:numPr>
          <w:ilvl w:val="1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2 Sam 7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after="18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Ps 89 </w:t>
      </w:r>
    </w:p>
    <w:p>
      <w:pPr>
        <w:pStyle w:val="Body"/>
        <w:spacing w:after="180" w:line="264" w:lineRule="auto"/>
        <w:jc w:val="both"/>
        <w:rPr>
          <w:rFonts w:ascii="Palatino" w:cs="Palatino" w:hAnsi="Palatino" w:eastAsia="Palatino"/>
        </w:rPr>
      </w:pPr>
    </w:p>
    <w:p>
      <w:pPr>
        <w:pStyle w:val="Title"/>
        <w:numPr>
          <w:ilvl w:val="0"/>
          <w:numId w:val="2"/>
        </w:numPr>
        <w:bidi w:val="0"/>
      </w:pPr>
      <w:r>
        <w:rPr>
          <w:rtl w:val="0"/>
        </w:rPr>
        <w:t xml:space="preserve">THE FULFILLMENT OF THE COVENANT. 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The fulfillment is future. 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It was not fulfilled by Solomon. 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>It was not fulfilled with Jesus</w:t>
      </w:r>
      <w:r>
        <w:rPr>
          <w:rFonts w:ascii="Palatino" w:hAnsi="Palatino" w:hint="default"/>
          <w:caps w:val="0"/>
          <w:smallCaps w:val="0"/>
          <w:sz w:val="20"/>
          <w:szCs w:val="20"/>
          <w:rtl w:val="0"/>
          <w:lang w:val="en-US"/>
        </w:rPr>
        <w:t xml:space="preserve">’ </w:t>
      </w: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first coming or any event connected to it. 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>Jesus is the Fulfillment at his second coming. (Mt 1:1; Lk 1:32; Rev 5:5)</w:t>
      </w: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Jesus meets the qualifications as legal heir to the throne of David.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Jesus meets the qualification of the predicted Messiah.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Different positions on the fulfillment </w:t>
      </w: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sz w:val="20"/>
          <w:szCs w:val="20"/>
          <w:lang w:val="en-US"/>
        </w:rPr>
      </w:pPr>
      <w:r>
        <w:rPr>
          <w:rFonts w:ascii="Palatino" w:hAnsi="Palatino"/>
          <w:sz w:val="20"/>
          <w:szCs w:val="20"/>
          <w:rtl w:val="0"/>
          <w:lang w:val="en-US"/>
        </w:rPr>
        <w:t xml:space="preserve">The Premillennial Position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sz w:val="20"/>
          <w:szCs w:val="20"/>
          <w:lang w:val="en-US"/>
        </w:rPr>
      </w:pPr>
      <w:r>
        <w:rPr>
          <w:rFonts w:ascii="Palatino" w:hAnsi="Palatino"/>
          <w:sz w:val="20"/>
          <w:szCs w:val="20"/>
          <w:rtl w:val="0"/>
          <w:lang w:val="en-US"/>
        </w:rPr>
        <w:t xml:space="preserve">The Amillennial and Postmillennial Positions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sz w:val="20"/>
          <w:szCs w:val="20"/>
          <w:lang w:val="en-US"/>
        </w:rPr>
      </w:pPr>
      <w:r>
        <w:rPr>
          <w:rFonts w:ascii="Palatino" w:hAnsi="Palatino"/>
          <w:sz w:val="20"/>
          <w:szCs w:val="20"/>
          <w:rtl w:val="0"/>
          <w:lang w:val="en-US"/>
        </w:rPr>
        <w:t>The Overlapping Positions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1"/>
          <w:bCs w:val="1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0"/>
          <w:bCs w:val="0"/>
          <w:sz w:val="20"/>
          <w:szCs w:val="20"/>
        </w:rPr>
      </w:pPr>
    </w:p>
    <w:p>
      <w:pPr>
        <w:pStyle w:val="Body"/>
        <w:spacing w:after="200" w:line="264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</w:rPr>
        <w:br w:type="page"/>
      </w: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The Basis of the Fulfillment. </w:t>
      </w: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Fulfillment based upon literal interpretation.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Fulfillment is based upon unconditional promises.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Fulfillment is based upon two different thrones. </w:t>
      </w:r>
    </w:p>
    <w:p>
      <w:pPr>
        <w:pStyle w:val="Body"/>
        <w:numPr>
          <w:ilvl w:val="3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The throne of David is different from the throne of God.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numPr>
          <w:ilvl w:val="3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 xml:space="preserve">The timing of the thrones. 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numPr>
          <w:ilvl w:val="3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>The limits of the Thrones.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caps w:val="0"/>
          <w:smallCaps w:val="0"/>
          <w:sz w:val="20"/>
          <w:szCs w:val="20"/>
        </w:rPr>
      </w:pPr>
    </w:p>
    <w:p>
      <w:pPr>
        <w:pStyle w:val="Body"/>
        <w:numPr>
          <w:ilvl w:val="3"/>
          <w:numId w:val="2"/>
        </w:numPr>
        <w:spacing w:after="200" w:line="264" w:lineRule="auto"/>
        <w:jc w:val="both"/>
        <w:rPr>
          <w:rFonts w:ascii="Palatino" w:hAnsi="Palatino"/>
          <w:caps w:val="0"/>
          <w:smallCaps w:val="0"/>
          <w:sz w:val="20"/>
          <w:szCs w:val="20"/>
          <w:lang w:val="en-US"/>
        </w:rPr>
      </w:pPr>
      <w:r>
        <w:rPr>
          <w:rFonts w:ascii="Palatino" w:hAnsi="Palatino"/>
          <w:caps w:val="0"/>
          <w:smallCaps w:val="0"/>
          <w:sz w:val="20"/>
          <w:szCs w:val="20"/>
          <w:rtl w:val="0"/>
          <w:lang w:val="en-US"/>
        </w:rPr>
        <w:t>The location of the Thrones.</w:t>
      </w: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spacing w:after="200" w:line="264" w:lineRule="auto"/>
        <w:jc w:val="both"/>
        <w:rPr>
          <w:rFonts w:ascii="Palatino" w:cs="Palatino" w:hAnsi="Palatino" w:eastAsia="Palatino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200"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rtl w:val="0"/>
          <w:lang w:val="en-US"/>
        </w:rPr>
        <w:t xml:space="preserve">Conclusion.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44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Palatino" w:cs="Palatino" w:hAnsi="Palatino" w:eastAsia="Palatino"/>
        <w:b w:val="1"/>
        <w:bCs w:val="1"/>
        <w:sz w:val="16"/>
        <w:szCs w:val="16"/>
      </w:rPr>
      <w:tab/>
    </w:r>
    <w:r>
      <w:rPr>
        <w:rFonts w:ascii="Palatino" w:cs="Palatino" w:hAnsi="Palatino" w:eastAsia="Palatino"/>
        <w:b w:val="1"/>
        <w:bCs w:val="1"/>
        <w:sz w:val="16"/>
        <w:szCs w:val="16"/>
      </w:rPr>
      <w:fldChar w:fldCharType="begin" w:fldLock="0"/>
    </w:r>
    <w:r>
      <w:rPr>
        <w:rFonts w:ascii="Palatino" w:cs="Palatino" w:hAnsi="Palatino" w:eastAsia="Palatino"/>
        <w:b w:val="1"/>
        <w:bCs w:val="1"/>
        <w:sz w:val="16"/>
        <w:szCs w:val="16"/>
      </w:rPr>
      <w:instrText xml:space="preserve"> PAGE </w:instrText>
    </w:r>
    <w:r>
      <w:rPr>
        <w:rFonts w:ascii="Palatino" w:cs="Palatino" w:hAnsi="Palatino" w:eastAsia="Palatino"/>
        <w:b w:val="1"/>
        <w:bCs w:val="1"/>
        <w:sz w:val="16"/>
        <w:szCs w:val="16"/>
      </w:rPr>
      <w:fldChar w:fldCharType="separate" w:fldLock="0"/>
    </w:r>
    <w:r>
      <w:rPr>
        <w:rFonts w:ascii="Palatino" w:cs="Palatino" w:hAnsi="Palatino" w:eastAsia="Palatino"/>
        <w:b w:val="1"/>
        <w:bCs w:val="1"/>
        <w:sz w:val="16"/>
        <w:szCs w:val="16"/>
      </w:rPr>
    </w:r>
    <w:r>
      <w:rPr>
        <w:rFonts w:ascii="Palatino" w:cs="Palatino" w:hAnsi="Palatino" w:eastAsia="Palatino"/>
        <w:b w:val="1"/>
        <w:bCs w:val="1"/>
        <w:sz w:val="16"/>
        <w:szCs w:val="16"/>
      </w:rPr>
      <w:fldChar w:fldCharType="end" w:fldLock="0"/>
    </w:r>
    <w:r>
      <w:rPr>
        <w:rFonts w:ascii="Palatino" w:hAnsi="Palatino"/>
        <w:b w:val="1"/>
        <w:bCs w:val="1"/>
        <w:sz w:val="16"/>
        <w:szCs w:val="16"/>
        <w:rtl w:val="0"/>
        <w:lang w:val="en-US"/>
      </w:rPr>
      <w:t xml:space="preserve"> of </w:t>
    </w:r>
    <w:r>
      <w:rPr>
        <w:rFonts w:ascii="Palatino" w:cs="Palatino" w:hAnsi="Palatino" w:eastAsia="Palatino"/>
        <w:b w:val="1"/>
        <w:bCs w:val="1"/>
        <w:sz w:val="16"/>
        <w:szCs w:val="16"/>
      </w:rPr>
      <w:fldChar w:fldCharType="begin" w:fldLock="0"/>
    </w:r>
    <w:r>
      <w:rPr>
        <w:rFonts w:ascii="Palatino" w:cs="Palatino" w:hAnsi="Palatino" w:eastAsia="Palatino"/>
        <w:b w:val="1"/>
        <w:bCs w:val="1"/>
        <w:sz w:val="16"/>
        <w:szCs w:val="16"/>
      </w:rPr>
      <w:instrText xml:space="preserve"> NUMPAGES </w:instrText>
    </w:r>
    <w:r>
      <w:rPr>
        <w:rFonts w:ascii="Palatino" w:cs="Palatino" w:hAnsi="Palatino" w:eastAsia="Palatino"/>
        <w:b w:val="1"/>
        <w:bCs w:val="1"/>
        <w:sz w:val="16"/>
        <w:szCs w:val="16"/>
      </w:rPr>
      <w:fldChar w:fldCharType="separate" w:fldLock="0"/>
    </w:r>
    <w:r>
      <w:rPr>
        <w:rFonts w:ascii="Palatino" w:cs="Palatino" w:hAnsi="Palatino" w:eastAsia="Palatino"/>
        <w:b w:val="1"/>
        <w:bCs w:val="1"/>
        <w:sz w:val="16"/>
        <w:szCs w:val="16"/>
      </w:rPr>
    </w:r>
    <w:r>
      <w:rPr>
        <w:rFonts w:ascii="Palatino" w:cs="Palatino" w:hAnsi="Palatino" w:eastAsia="Palatino"/>
        <w:b w:val="1"/>
        <w:bCs w:val="1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Palatino" w:hAnsi="Palatino"/>
        <w:sz w:val="16"/>
        <w:szCs w:val="16"/>
      </w:rPr>
      <w:tab/>
      <w:tab/>
    </w:r>
    <w:r>
      <w:rPr>
        <w:rFonts w:ascii="Palatino" w:hAnsi="Palatino"/>
        <w:sz w:val="16"/>
        <w:szCs w:val="16"/>
        <w:rtl w:val="0"/>
        <w:lang w:val="en-US"/>
      </w:rPr>
      <w:t xml:space="preserve">7 </w:t>
    </w:r>
    <w:r>
      <w:rPr>
        <w:rFonts w:ascii="Palatino" w:hAnsi="Palatino" w:hint="default"/>
        <w:sz w:val="16"/>
        <w:szCs w:val="16"/>
        <w:rtl w:val="0"/>
        <w:lang w:val="en-US"/>
      </w:rPr>
      <w:t xml:space="preserve">— </w:t>
    </w:r>
    <w:r>
      <w:rPr>
        <w:rFonts w:ascii="Palatino" w:hAnsi="Palatino"/>
        <w:sz w:val="16"/>
        <w:szCs w:val="16"/>
        <w:rtl w:val="0"/>
        <w:lang w:val="en-US"/>
      </w:rPr>
      <w:t>The Davidic Covenant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Palatino" w:cs="Arial Unicode MS" w:hAnsi="Palatin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alatino"/>
        <a:ea typeface="Palatino"/>
        <a:cs typeface="Palatino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